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5763" w14:textId="3D2A2A1F" w:rsidR="00331B18" w:rsidRPr="00E82FE8" w:rsidRDefault="00331B18" w:rsidP="00B35B57">
      <w:pPr>
        <w:spacing w:before="0"/>
        <w:ind w:firstLine="0"/>
        <w:jc w:val="center"/>
        <w:rPr>
          <w:rFonts w:eastAsia="Times New Roman"/>
          <w:szCs w:val="24"/>
        </w:rPr>
      </w:pPr>
    </w:p>
    <w:p w14:paraId="5A32AC69" w14:textId="650D21DE" w:rsidR="00BE1520" w:rsidRPr="00E82FE8" w:rsidRDefault="00BE1520" w:rsidP="00B35B57">
      <w:pPr>
        <w:spacing w:before="0"/>
        <w:ind w:firstLine="0"/>
        <w:jc w:val="center"/>
        <w:rPr>
          <w:rFonts w:eastAsia="Times New Roman"/>
          <w:szCs w:val="24"/>
        </w:rPr>
      </w:pPr>
    </w:p>
    <w:p w14:paraId="43D926CD" w14:textId="7CB2688D" w:rsidR="00BE1520" w:rsidRPr="00E82FE8" w:rsidRDefault="00BE1520" w:rsidP="00B35B57">
      <w:pPr>
        <w:spacing w:before="0"/>
        <w:ind w:firstLine="0"/>
        <w:jc w:val="center"/>
        <w:rPr>
          <w:rFonts w:eastAsia="Times New Roman"/>
          <w:szCs w:val="24"/>
        </w:rPr>
      </w:pPr>
    </w:p>
    <w:p w14:paraId="6361E082" w14:textId="3CEEBBA9" w:rsidR="00BE1520" w:rsidRPr="00E82FE8" w:rsidRDefault="00BE1520" w:rsidP="00B35B57">
      <w:pPr>
        <w:spacing w:before="0"/>
        <w:ind w:firstLine="0"/>
        <w:jc w:val="center"/>
        <w:rPr>
          <w:rFonts w:eastAsia="Times New Roman"/>
          <w:szCs w:val="24"/>
        </w:rPr>
      </w:pPr>
    </w:p>
    <w:p w14:paraId="2DA21378" w14:textId="3DD1AA9A" w:rsidR="00BE1520" w:rsidRPr="00E82FE8" w:rsidRDefault="00BE1520" w:rsidP="00B35B57">
      <w:pPr>
        <w:spacing w:before="0"/>
        <w:ind w:firstLine="0"/>
        <w:jc w:val="center"/>
        <w:rPr>
          <w:rFonts w:eastAsia="Times New Roman"/>
          <w:szCs w:val="24"/>
        </w:rPr>
      </w:pPr>
    </w:p>
    <w:p w14:paraId="2F8A9EC7" w14:textId="73FA010C" w:rsidR="00BE1520" w:rsidRPr="00E82FE8" w:rsidRDefault="00BE1520" w:rsidP="00B35B57">
      <w:pPr>
        <w:spacing w:before="0"/>
        <w:ind w:firstLine="0"/>
        <w:jc w:val="center"/>
        <w:rPr>
          <w:rFonts w:eastAsia="Times New Roman"/>
          <w:szCs w:val="24"/>
        </w:rPr>
      </w:pPr>
    </w:p>
    <w:p w14:paraId="59071182" w14:textId="7F3794A5" w:rsidR="00BE1520" w:rsidRPr="00E82FE8" w:rsidRDefault="00BE1520" w:rsidP="00B35B57">
      <w:pPr>
        <w:spacing w:before="0"/>
        <w:ind w:firstLine="0"/>
        <w:jc w:val="center"/>
        <w:rPr>
          <w:rFonts w:eastAsia="Times New Roman"/>
          <w:szCs w:val="24"/>
        </w:rPr>
      </w:pPr>
    </w:p>
    <w:p w14:paraId="124E77C7" w14:textId="6755CE41" w:rsidR="00BE1520" w:rsidRPr="00E82FE8" w:rsidRDefault="00BE1520" w:rsidP="00B35B57">
      <w:pPr>
        <w:spacing w:before="0"/>
        <w:ind w:firstLine="0"/>
        <w:jc w:val="center"/>
        <w:rPr>
          <w:rFonts w:eastAsia="Times New Roman"/>
          <w:szCs w:val="24"/>
        </w:rPr>
      </w:pPr>
    </w:p>
    <w:p w14:paraId="61D67FF5" w14:textId="7CF7CCDE" w:rsidR="00BE1520" w:rsidRPr="00E82FE8" w:rsidRDefault="00BE1520" w:rsidP="00B35B57">
      <w:pPr>
        <w:spacing w:before="0"/>
        <w:ind w:firstLine="0"/>
        <w:jc w:val="center"/>
        <w:rPr>
          <w:rFonts w:eastAsia="Times New Roman"/>
          <w:szCs w:val="24"/>
        </w:rPr>
      </w:pPr>
    </w:p>
    <w:p w14:paraId="497B4BF2" w14:textId="77777777" w:rsidR="00BE1520" w:rsidRPr="00E82FE8" w:rsidRDefault="00BE1520" w:rsidP="00B35B57">
      <w:pPr>
        <w:spacing w:before="0"/>
        <w:ind w:firstLine="0"/>
        <w:jc w:val="center"/>
        <w:rPr>
          <w:rFonts w:eastAsia="Times New Roman"/>
          <w:szCs w:val="24"/>
        </w:rPr>
      </w:pPr>
    </w:p>
    <w:p w14:paraId="4CDB3CA4" w14:textId="77777777" w:rsidR="00331B18" w:rsidRPr="00E82FE8" w:rsidRDefault="00331B18" w:rsidP="00DD3E18">
      <w:pPr>
        <w:keepNext/>
        <w:overflowPunct w:val="0"/>
        <w:spacing w:before="240" w:after="60"/>
        <w:ind w:firstLine="0"/>
        <w:jc w:val="center"/>
        <w:textAlignment w:val="baseline"/>
        <w:outlineLvl w:val="0"/>
        <w:rPr>
          <w:rFonts w:ascii="Times New Roman Bold" w:eastAsia="Times New Roman" w:hAnsi="Times New Roman Bold" w:cs="Arial"/>
          <w:b/>
          <w:caps/>
          <w:spacing w:val="20"/>
          <w:kern w:val="32"/>
          <w:szCs w:val="32"/>
        </w:rPr>
      </w:pPr>
      <w:r w:rsidRPr="00E82FE8">
        <w:rPr>
          <w:rFonts w:ascii="Times New Roman Bold" w:eastAsia="Times New Roman" w:hAnsi="Times New Roman Bold" w:cs="Arial"/>
          <w:b/>
          <w:caps/>
          <w:spacing w:val="20"/>
          <w:kern w:val="32"/>
          <w:szCs w:val="32"/>
        </w:rPr>
        <w:t>recent DEVELOPMENTS in</w:t>
      </w:r>
    </w:p>
    <w:p w14:paraId="11B24AF4" w14:textId="7D6FD7A8" w:rsidR="00331B18" w:rsidRPr="00E82FE8" w:rsidRDefault="00331B18" w:rsidP="00DD3E18">
      <w:pPr>
        <w:keepNext/>
        <w:overflowPunct w:val="0"/>
        <w:spacing w:before="240" w:after="60"/>
        <w:ind w:firstLine="0"/>
        <w:jc w:val="center"/>
        <w:textAlignment w:val="baseline"/>
        <w:outlineLvl w:val="0"/>
        <w:rPr>
          <w:rFonts w:ascii="Times New Roman Bold" w:eastAsia="Times New Roman" w:hAnsi="Times New Roman Bold" w:cs="Arial"/>
          <w:b/>
          <w:caps/>
          <w:spacing w:val="20"/>
          <w:kern w:val="32"/>
          <w:szCs w:val="32"/>
        </w:rPr>
      </w:pPr>
      <w:r w:rsidRPr="00E82FE8">
        <w:rPr>
          <w:rFonts w:ascii="Times New Roman Bold" w:eastAsia="Times New Roman" w:hAnsi="Times New Roman Bold" w:cs="Arial"/>
          <w:b/>
          <w:caps/>
          <w:spacing w:val="20"/>
          <w:kern w:val="32"/>
          <w:szCs w:val="32"/>
        </w:rPr>
        <w:t xml:space="preserve">OKLAHOMA business and corporate law </w:t>
      </w:r>
      <w:r w:rsidRPr="00E82FE8">
        <w:rPr>
          <w:rFonts w:ascii="Times New Roman Bold" w:eastAsia="Times New Roman" w:hAnsi="Times New Roman Bold" w:cs="Arial"/>
          <w:b/>
          <w:caps/>
          <w:spacing w:val="20"/>
          <w:kern w:val="32"/>
          <w:szCs w:val="32"/>
        </w:rPr>
        <w:noBreakHyphen/>
      </w:r>
      <w:r w:rsidR="00DF5F16" w:rsidRPr="00E82FE8">
        <w:rPr>
          <w:rFonts w:ascii="Times New Roman Bold" w:eastAsia="Times New Roman" w:hAnsi="Times New Roman Bold" w:cs="Arial"/>
          <w:b/>
          <w:caps/>
          <w:spacing w:val="20"/>
          <w:kern w:val="32"/>
          <w:szCs w:val="32"/>
        </w:rPr>
        <w:t xml:space="preserve"> </w:t>
      </w:r>
      <w:r w:rsidR="008679A5">
        <w:rPr>
          <w:rFonts w:ascii="Times New Roman Bold" w:eastAsia="Times New Roman" w:hAnsi="Times New Roman Bold" w:cs="Arial"/>
          <w:b/>
          <w:caps/>
          <w:spacing w:val="20"/>
          <w:kern w:val="32"/>
          <w:szCs w:val="32"/>
        </w:rPr>
        <w:t>2022</w:t>
      </w:r>
    </w:p>
    <w:p w14:paraId="7FF23147" w14:textId="77777777" w:rsidR="00331B18" w:rsidRPr="00E82FE8" w:rsidRDefault="00331B18" w:rsidP="00DD3E18">
      <w:pPr>
        <w:spacing w:before="0"/>
        <w:ind w:firstLine="0"/>
        <w:jc w:val="center"/>
        <w:rPr>
          <w:rFonts w:eastAsia="Times New Roman"/>
          <w:b/>
          <w:bCs/>
          <w:szCs w:val="24"/>
        </w:rPr>
      </w:pPr>
    </w:p>
    <w:p w14:paraId="09596B4E" w14:textId="77777777" w:rsidR="00331B18" w:rsidRPr="00E82FE8" w:rsidRDefault="00331B18" w:rsidP="00DD3E18">
      <w:pPr>
        <w:spacing w:before="0"/>
        <w:ind w:firstLine="0"/>
        <w:jc w:val="center"/>
        <w:rPr>
          <w:rFonts w:eastAsia="Times New Roman"/>
          <w:b/>
          <w:bCs/>
          <w:szCs w:val="24"/>
        </w:rPr>
      </w:pPr>
    </w:p>
    <w:p w14:paraId="46764236" w14:textId="77777777" w:rsidR="00331B18" w:rsidRPr="00E82FE8" w:rsidRDefault="00331B18" w:rsidP="00DD3E18">
      <w:pPr>
        <w:spacing w:before="0"/>
        <w:ind w:firstLine="0"/>
        <w:jc w:val="center"/>
        <w:rPr>
          <w:rFonts w:eastAsia="Times New Roman"/>
          <w:szCs w:val="24"/>
        </w:rPr>
      </w:pPr>
    </w:p>
    <w:p w14:paraId="41D6F845" w14:textId="77777777" w:rsidR="00331B18" w:rsidRPr="00E82FE8" w:rsidRDefault="00331B18" w:rsidP="00DD3E18">
      <w:pPr>
        <w:spacing w:before="0"/>
        <w:ind w:firstLine="0"/>
        <w:jc w:val="center"/>
        <w:rPr>
          <w:rFonts w:eastAsia="Times New Roman"/>
          <w:szCs w:val="24"/>
        </w:rPr>
      </w:pPr>
    </w:p>
    <w:p w14:paraId="6EFF430F" w14:textId="77777777" w:rsidR="00331B18" w:rsidRPr="00E82FE8" w:rsidRDefault="00331B18" w:rsidP="00DD3E18">
      <w:pPr>
        <w:spacing w:before="0"/>
        <w:ind w:firstLine="0"/>
        <w:jc w:val="center"/>
        <w:rPr>
          <w:rFonts w:eastAsia="Times New Roman"/>
          <w:szCs w:val="24"/>
        </w:rPr>
      </w:pPr>
    </w:p>
    <w:p w14:paraId="51BC880A" w14:textId="77777777" w:rsidR="00331B18" w:rsidRPr="00E82FE8" w:rsidRDefault="00331B18" w:rsidP="00DD3E18">
      <w:pPr>
        <w:spacing w:before="240" w:after="240"/>
        <w:ind w:firstLine="0"/>
        <w:jc w:val="center"/>
        <w:rPr>
          <w:rFonts w:eastAsia="Times New Roman"/>
          <w:szCs w:val="24"/>
        </w:rPr>
      </w:pPr>
    </w:p>
    <w:p w14:paraId="48BBCF8F" w14:textId="77777777" w:rsidR="00331B18" w:rsidRPr="00E82FE8" w:rsidRDefault="00331B18" w:rsidP="00DD3E18">
      <w:pPr>
        <w:spacing w:before="0"/>
        <w:ind w:firstLine="0"/>
        <w:jc w:val="center"/>
        <w:rPr>
          <w:rFonts w:eastAsia="Times New Roman"/>
          <w:szCs w:val="24"/>
        </w:rPr>
      </w:pPr>
      <w:r w:rsidRPr="00E82FE8">
        <w:rPr>
          <w:rFonts w:eastAsia="Times New Roman"/>
          <w:szCs w:val="24"/>
        </w:rPr>
        <w:t>Gary W. Derrick</w:t>
      </w:r>
    </w:p>
    <w:p w14:paraId="68167850" w14:textId="77777777" w:rsidR="00331B18" w:rsidRPr="00E82FE8" w:rsidRDefault="00331B18" w:rsidP="00DD3E18">
      <w:pPr>
        <w:spacing w:before="0"/>
        <w:ind w:firstLine="0"/>
        <w:jc w:val="center"/>
        <w:rPr>
          <w:rFonts w:eastAsia="Times New Roman"/>
          <w:szCs w:val="24"/>
        </w:rPr>
      </w:pPr>
      <w:r w:rsidRPr="00E82FE8">
        <w:rPr>
          <w:rFonts w:eastAsia="Times New Roman"/>
          <w:szCs w:val="24"/>
        </w:rPr>
        <w:t>Derrick &amp; Briggs, LLP</w:t>
      </w:r>
    </w:p>
    <w:p w14:paraId="41128D53" w14:textId="77777777" w:rsidR="00331B18" w:rsidRPr="00E82FE8" w:rsidRDefault="00331B18" w:rsidP="00DD3E18">
      <w:pPr>
        <w:spacing w:before="0"/>
        <w:ind w:firstLine="0"/>
        <w:jc w:val="center"/>
        <w:rPr>
          <w:rFonts w:eastAsia="Times New Roman"/>
          <w:szCs w:val="24"/>
        </w:rPr>
      </w:pPr>
    </w:p>
    <w:p w14:paraId="7FC47114" w14:textId="77777777" w:rsidR="00331B18" w:rsidRPr="00E82FE8" w:rsidRDefault="00331B18" w:rsidP="00DD3E18">
      <w:pPr>
        <w:spacing w:before="0"/>
        <w:ind w:firstLine="0"/>
        <w:jc w:val="center"/>
        <w:rPr>
          <w:rFonts w:eastAsia="Times New Roman"/>
          <w:szCs w:val="24"/>
        </w:rPr>
      </w:pPr>
    </w:p>
    <w:p w14:paraId="2E331ADB" w14:textId="77777777" w:rsidR="00331B18" w:rsidRPr="00E82FE8" w:rsidRDefault="00331B18" w:rsidP="00DD3E18">
      <w:pPr>
        <w:spacing w:before="0"/>
        <w:ind w:firstLine="0"/>
        <w:jc w:val="center"/>
        <w:rPr>
          <w:rFonts w:eastAsia="Times New Roman"/>
          <w:szCs w:val="24"/>
        </w:rPr>
      </w:pPr>
    </w:p>
    <w:p w14:paraId="799A1082" w14:textId="77777777" w:rsidR="00331B18" w:rsidRPr="00E82FE8" w:rsidRDefault="00331B18" w:rsidP="00DD3E18">
      <w:pPr>
        <w:ind w:firstLine="0"/>
        <w:jc w:val="right"/>
        <w:rPr>
          <w:rFonts w:eastAsia="Times New Roman"/>
          <w:szCs w:val="24"/>
        </w:rPr>
      </w:pPr>
    </w:p>
    <w:p w14:paraId="267839F9" w14:textId="77777777" w:rsidR="00331B18" w:rsidRPr="00E82FE8" w:rsidRDefault="00331B18" w:rsidP="00DD3E18">
      <w:pPr>
        <w:ind w:firstLine="0"/>
        <w:rPr>
          <w:rFonts w:eastAsia="Times New Roman"/>
          <w:szCs w:val="24"/>
        </w:rPr>
        <w:sectPr w:rsidR="00331B18" w:rsidRPr="00E82FE8" w:rsidSect="0001497D">
          <w:footerReference w:type="even" r:id="rId8"/>
          <w:footerReference w:type="default" r:id="rId9"/>
          <w:footerReference w:type="first" r:id="rId10"/>
          <w:pgSz w:w="12240" w:h="15840" w:code="1"/>
          <w:pgMar w:top="1440" w:right="1440" w:bottom="1440" w:left="1440" w:header="720" w:footer="720" w:gutter="0"/>
          <w:paperSrc w:first="11"/>
          <w:pgNumType w:start="2"/>
          <w:cols w:space="720"/>
          <w:titlePg/>
          <w:docGrid w:linePitch="326"/>
        </w:sectPr>
      </w:pPr>
    </w:p>
    <w:p w14:paraId="6D54CAEA" w14:textId="1932E2B9" w:rsidR="00331B18" w:rsidRPr="00E82FE8" w:rsidRDefault="00331B18" w:rsidP="00DD3E18">
      <w:pPr>
        <w:keepNext/>
        <w:overflowPunct w:val="0"/>
        <w:spacing w:before="240" w:after="60"/>
        <w:ind w:firstLine="0"/>
        <w:jc w:val="center"/>
        <w:textAlignment w:val="baseline"/>
        <w:outlineLvl w:val="0"/>
        <w:rPr>
          <w:rFonts w:ascii="Times New Roman Bold" w:eastAsia="Times New Roman" w:hAnsi="Times New Roman Bold" w:cs="Arial"/>
          <w:b/>
          <w:caps/>
          <w:spacing w:val="20"/>
          <w:kern w:val="32"/>
          <w:szCs w:val="32"/>
        </w:rPr>
      </w:pPr>
      <w:r w:rsidRPr="00E82FE8">
        <w:rPr>
          <w:rFonts w:ascii="Times New Roman Bold" w:eastAsia="Times New Roman" w:hAnsi="Times New Roman Bold" w:cs="Arial"/>
          <w:b/>
          <w:caps/>
          <w:spacing w:val="20"/>
          <w:kern w:val="32"/>
          <w:szCs w:val="32"/>
        </w:rPr>
        <w:lastRenderedPageBreak/>
        <w:t xml:space="preserve">recent DEVELOPMENTS in </w:t>
      </w:r>
      <w:r w:rsidRPr="00E82FE8">
        <w:rPr>
          <w:rFonts w:ascii="Times New Roman Bold" w:eastAsia="Times New Roman" w:hAnsi="Times New Roman Bold" w:cs="Arial"/>
          <w:b/>
          <w:caps/>
          <w:spacing w:val="20"/>
          <w:kern w:val="32"/>
          <w:szCs w:val="32"/>
        </w:rPr>
        <w:br/>
        <w:t xml:space="preserve">OKLAHOMA business and corporate law </w:t>
      </w:r>
      <w:r w:rsidRPr="00E82FE8">
        <w:rPr>
          <w:rFonts w:ascii="Times New Roman Bold" w:eastAsia="Times New Roman" w:hAnsi="Times New Roman Bold" w:cs="Arial"/>
          <w:b/>
          <w:caps/>
          <w:spacing w:val="20"/>
          <w:kern w:val="32"/>
          <w:szCs w:val="32"/>
        </w:rPr>
        <w:noBreakHyphen/>
      </w:r>
      <w:r w:rsidR="00DF5F16" w:rsidRPr="00E82FE8">
        <w:rPr>
          <w:rFonts w:ascii="Times New Roman Bold" w:eastAsia="Times New Roman" w:hAnsi="Times New Roman Bold" w:cs="Arial"/>
          <w:b/>
          <w:caps/>
          <w:spacing w:val="20"/>
          <w:kern w:val="32"/>
          <w:szCs w:val="32"/>
        </w:rPr>
        <w:t xml:space="preserve"> </w:t>
      </w:r>
      <w:r w:rsidR="008679A5">
        <w:rPr>
          <w:rFonts w:ascii="Times New Roman Bold" w:eastAsia="Times New Roman" w:hAnsi="Times New Roman Bold" w:cs="Arial"/>
          <w:b/>
          <w:caps/>
          <w:spacing w:val="20"/>
          <w:kern w:val="32"/>
          <w:szCs w:val="32"/>
        </w:rPr>
        <w:t>2022</w:t>
      </w:r>
    </w:p>
    <w:p w14:paraId="68F95B75" w14:textId="77777777" w:rsidR="00331B18" w:rsidRPr="00E82FE8" w:rsidRDefault="00331B18" w:rsidP="00667787">
      <w:pPr>
        <w:pStyle w:val="Heading3"/>
        <w:rPr>
          <w:rFonts w:eastAsia="Times New Roman"/>
        </w:rPr>
      </w:pPr>
      <w:r w:rsidRPr="00E82FE8">
        <w:rPr>
          <w:rFonts w:eastAsia="Times New Roman"/>
        </w:rPr>
        <w:t>Introduction</w:t>
      </w:r>
      <w:r w:rsidR="00B63E36" w:rsidRPr="00E82FE8">
        <w:rPr>
          <w:rFonts w:eastAsia="Times New Roman"/>
        </w:rPr>
        <w:t xml:space="preserve"> </w:t>
      </w:r>
    </w:p>
    <w:p w14:paraId="6ACDB2BE" w14:textId="54891B53" w:rsidR="00CA2114" w:rsidRDefault="0015137E" w:rsidP="00526D2D">
      <w:pPr>
        <w:overflowPunct w:val="0"/>
        <w:textAlignment w:val="baseline"/>
        <w:rPr>
          <w:rFonts w:eastAsia="Times New Roman"/>
        </w:rPr>
      </w:pPr>
      <w:r>
        <w:rPr>
          <w:rFonts w:eastAsia="Times New Roman"/>
        </w:rPr>
        <w:t xml:space="preserve">We opened last year’s paper saying </w:t>
      </w:r>
      <w:r w:rsidR="00526D2D" w:rsidRPr="00E82FE8">
        <w:rPr>
          <w:rFonts w:eastAsia="Times New Roman"/>
        </w:rPr>
        <w:t xml:space="preserve">we </w:t>
      </w:r>
      <w:r w:rsidR="007F4886" w:rsidRPr="00E82FE8">
        <w:rPr>
          <w:rFonts w:eastAsia="Times New Roman"/>
        </w:rPr>
        <w:t xml:space="preserve">are gradually recovering from </w:t>
      </w:r>
      <w:r w:rsidR="00AB1BBB" w:rsidRPr="00E82FE8">
        <w:t xml:space="preserve">the </w:t>
      </w:r>
      <w:r w:rsidR="00AB1BBB" w:rsidRPr="00E82FE8">
        <w:rPr>
          <w:rFonts w:eastAsia="Times New Roman"/>
        </w:rPr>
        <w:t>COVID-19 pandem</w:t>
      </w:r>
      <w:r w:rsidR="00AB1BBB" w:rsidRPr="00E82FE8">
        <w:t>ic</w:t>
      </w:r>
      <w:r>
        <w:t xml:space="preserve"> and </w:t>
      </w:r>
      <w:r w:rsidR="007A3D4E">
        <w:t>its</w:t>
      </w:r>
      <w:r>
        <w:t xml:space="preserve"> </w:t>
      </w:r>
      <w:r w:rsidR="007F4886" w:rsidRPr="00E82FE8">
        <w:rPr>
          <w:rFonts w:eastAsia="Times New Roman"/>
        </w:rPr>
        <w:t xml:space="preserve">profound </w:t>
      </w:r>
      <w:r>
        <w:rPr>
          <w:rFonts w:eastAsia="Times New Roman"/>
        </w:rPr>
        <w:t>impact on our lives.</w:t>
      </w:r>
      <w:r w:rsidR="00295A5C" w:rsidRPr="00E82FE8">
        <w:rPr>
          <w:rStyle w:val="FootnoteReference"/>
        </w:rPr>
        <w:footnoteReference w:id="1"/>
      </w:r>
      <w:r>
        <w:rPr>
          <w:rFonts w:eastAsia="Times New Roman"/>
        </w:rPr>
        <w:t xml:space="preserve">  </w:t>
      </w:r>
      <w:r w:rsidR="007A3D4E">
        <w:rPr>
          <w:rFonts w:eastAsia="Times New Roman"/>
        </w:rPr>
        <w:t xml:space="preserve">The economy appeared to be </w:t>
      </w:r>
      <w:r w:rsidR="00C2448E">
        <w:rPr>
          <w:rFonts w:eastAsia="Times New Roman"/>
        </w:rPr>
        <w:t xml:space="preserve">approaching </w:t>
      </w:r>
      <w:r w:rsidR="007A3D4E">
        <w:rPr>
          <w:rFonts w:eastAsia="Times New Roman"/>
        </w:rPr>
        <w:t>pre-pandemic levels.</w:t>
      </w:r>
      <w:r w:rsidR="00CA2114" w:rsidRPr="00E82FE8">
        <w:rPr>
          <w:rStyle w:val="FootnoteReference"/>
        </w:rPr>
        <w:footnoteReference w:id="2"/>
      </w:r>
      <w:r w:rsidR="007A3D4E">
        <w:rPr>
          <w:rFonts w:eastAsia="Times New Roman"/>
        </w:rPr>
        <w:t xml:space="preserve">  It seemed we were returning to normality.  </w:t>
      </w:r>
      <w:r w:rsidR="001F4775">
        <w:rPr>
          <w:rFonts w:eastAsia="Times New Roman"/>
        </w:rPr>
        <w:t>That assessment was faulty</w:t>
      </w:r>
      <w:r>
        <w:rPr>
          <w:rFonts w:eastAsia="Times New Roman"/>
        </w:rPr>
        <w:t xml:space="preserve">.  </w:t>
      </w:r>
      <w:r w:rsidR="00F617A5" w:rsidRPr="00E82FE8">
        <w:rPr>
          <w:rFonts w:eastAsia="Times New Roman"/>
        </w:rPr>
        <w:t xml:space="preserve">COVID-19 </w:t>
      </w:r>
      <w:r w:rsidR="001F4775">
        <w:rPr>
          <w:rFonts w:eastAsia="Times New Roman"/>
        </w:rPr>
        <w:t>was</w:t>
      </w:r>
      <w:r>
        <w:rPr>
          <w:rFonts w:eastAsia="Times New Roman"/>
        </w:rPr>
        <w:t xml:space="preserve"> more stubborn than </w:t>
      </w:r>
      <w:r w:rsidR="001F4775">
        <w:rPr>
          <w:rFonts w:eastAsia="Times New Roman"/>
        </w:rPr>
        <w:t>anticipated</w:t>
      </w:r>
      <w:r>
        <w:rPr>
          <w:rFonts w:eastAsia="Times New Roman"/>
        </w:rPr>
        <w:t>, although its lethality diminished</w:t>
      </w:r>
      <w:r w:rsidR="0080757F">
        <w:rPr>
          <w:rFonts w:eastAsia="Times New Roman"/>
        </w:rPr>
        <w:t>,</w:t>
      </w:r>
      <w:r>
        <w:rPr>
          <w:rFonts w:eastAsia="Times New Roman"/>
        </w:rPr>
        <w:t xml:space="preserve"> and we learn</w:t>
      </w:r>
      <w:r w:rsidR="001F4775">
        <w:rPr>
          <w:rFonts w:eastAsia="Times New Roman"/>
        </w:rPr>
        <w:t>ed</w:t>
      </w:r>
      <w:r>
        <w:rPr>
          <w:rFonts w:eastAsia="Times New Roman"/>
        </w:rPr>
        <w:t xml:space="preserve"> to live with it. </w:t>
      </w:r>
      <w:r w:rsidR="001F4775">
        <w:rPr>
          <w:rFonts w:eastAsia="Times New Roman"/>
        </w:rPr>
        <w:t xml:space="preserve"> The economy suffered unexpected jolts.  </w:t>
      </w:r>
      <w:r w:rsidR="007A3D4E">
        <w:rPr>
          <w:rFonts w:eastAsia="Times New Roman"/>
        </w:rPr>
        <w:t xml:space="preserve">Russia invaded Ukraine in </w:t>
      </w:r>
      <w:r w:rsidR="001F4775">
        <w:rPr>
          <w:rFonts w:eastAsia="Times New Roman"/>
        </w:rPr>
        <w:t>February 2022</w:t>
      </w:r>
      <w:r w:rsidR="007A3D4E">
        <w:rPr>
          <w:rFonts w:eastAsia="Times New Roman"/>
        </w:rPr>
        <w:t xml:space="preserve">, which triggered massive economic sanctions and disrupted energy </w:t>
      </w:r>
      <w:r w:rsidR="00C2448E">
        <w:rPr>
          <w:rFonts w:eastAsia="Times New Roman"/>
        </w:rPr>
        <w:t xml:space="preserve">and agricultural </w:t>
      </w:r>
      <w:r w:rsidR="007A3D4E">
        <w:rPr>
          <w:rFonts w:eastAsia="Times New Roman"/>
        </w:rPr>
        <w:t>markets.  Inflation rose to levels not experienced in a half century</w:t>
      </w:r>
      <w:r w:rsidR="00C2448E">
        <w:rPr>
          <w:rFonts w:eastAsia="Times New Roman"/>
        </w:rPr>
        <w:t>,</w:t>
      </w:r>
      <w:r w:rsidR="007A3D4E">
        <w:rPr>
          <w:rFonts w:eastAsia="Times New Roman"/>
        </w:rPr>
        <w:t xml:space="preserve"> and central banks responded by raising interest rates to slow demand.  </w:t>
      </w:r>
      <w:r w:rsidR="00CA2114">
        <w:rPr>
          <w:rFonts w:eastAsia="Times New Roman"/>
        </w:rPr>
        <w:t xml:space="preserve">The stock markets have fallen.  The risk of a recession looms. </w:t>
      </w:r>
    </w:p>
    <w:p w14:paraId="1C0ACA16" w14:textId="0C5017B2" w:rsidR="002A6A7C" w:rsidRDefault="00CA2114" w:rsidP="00526D2D">
      <w:pPr>
        <w:overflowPunct w:val="0"/>
        <w:textAlignment w:val="baseline"/>
      </w:pPr>
      <w:r>
        <w:rPr>
          <w:rFonts w:eastAsia="Times New Roman"/>
        </w:rPr>
        <w:t xml:space="preserve">As we face these economic stresses, we should ask </w:t>
      </w:r>
      <w:r w:rsidR="002A6A7C">
        <w:t xml:space="preserve">how the stresses might </w:t>
      </w:r>
      <w:r w:rsidR="00C2448E">
        <w:t xml:space="preserve">impact </w:t>
      </w:r>
      <w:r w:rsidR="002A6A7C">
        <w:t xml:space="preserve">recent trends in corporate law and governance.  </w:t>
      </w:r>
      <w:r>
        <w:t xml:space="preserve">One notable trend </w:t>
      </w:r>
      <w:r w:rsidR="002747B0">
        <w:t xml:space="preserve">has been </w:t>
      </w:r>
      <w:r>
        <w:t>the focus on environmental, social and corporate governance betterment.  ESG</w:t>
      </w:r>
      <w:r w:rsidR="002A6A7C">
        <w:t xml:space="preserve"> pushes companies to look beyond their shareholders to consider the needs of other stakeholders</w:t>
      </w:r>
      <w:r>
        <w:t xml:space="preserve"> and the broader world</w:t>
      </w:r>
      <w:r w:rsidR="002A6A7C">
        <w:t xml:space="preserve">.  </w:t>
      </w:r>
      <w:r w:rsidR="002747B0">
        <w:t>The ESG push was strongly supported by the financial markets</w:t>
      </w:r>
      <w:r w:rsidR="00524863">
        <w:t>, b</w:t>
      </w:r>
      <w:r w:rsidR="00C2448E">
        <w:t>ut</w:t>
      </w:r>
      <w:r w:rsidR="00524863">
        <w:t xml:space="preserve"> we have recently seen some backlash, especially at the state level</w:t>
      </w:r>
      <w:r w:rsidR="002747B0">
        <w:t xml:space="preserve">.  </w:t>
      </w:r>
      <w:r w:rsidR="00524863">
        <w:t xml:space="preserve">Might </w:t>
      </w:r>
      <w:r w:rsidR="002A6A7C">
        <w:t xml:space="preserve">economic stresses mitigate the </w:t>
      </w:r>
      <w:r w:rsidR="00524863">
        <w:t xml:space="preserve">ESG </w:t>
      </w:r>
      <w:r w:rsidR="002A6A7C">
        <w:t>trend</w:t>
      </w:r>
      <w:r w:rsidR="008605DE">
        <w:t>?</w:t>
      </w:r>
      <w:r w:rsidR="002A6A7C">
        <w:t xml:space="preserve"> </w:t>
      </w:r>
    </w:p>
    <w:p w14:paraId="36DA0197" w14:textId="33D7A9C2" w:rsidR="00524863" w:rsidRDefault="00524863" w:rsidP="00526D2D">
      <w:pPr>
        <w:overflowPunct w:val="0"/>
        <w:textAlignment w:val="baseline"/>
        <w:rPr>
          <w:szCs w:val="24"/>
        </w:rPr>
      </w:pPr>
      <w:r>
        <w:lastRenderedPageBreak/>
        <w:t xml:space="preserve">Another trend has been for greater transparency in the beneficial ownership of legal entities.  </w:t>
      </w:r>
      <w:r w:rsidR="00C2448E">
        <w:t xml:space="preserve">In 2021, </w:t>
      </w:r>
      <w:r w:rsidR="002B1E0A">
        <w:t xml:space="preserve">Congress passed the </w:t>
      </w:r>
      <w:r w:rsidR="002B1E0A" w:rsidRPr="00E82FE8">
        <w:rPr>
          <w:szCs w:val="24"/>
        </w:rPr>
        <w:t>Corporate Transparency Act (the “</w:t>
      </w:r>
      <w:r w:rsidR="002B1E0A" w:rsidRPr="00E82FE8">
        <w:rPr>
          <w:i/>
          <w:iCs/>
          <w:szCs w:val="24"/>
        </w:rPr>
        <w:t>CTA</w:t>
      </w:r>
      <w:r w:rsidR="002B1E0A" w:rsidRPr="00E82FE8">
        <w:rPr>
          <w:szCs w:val="24"/>
        </w:rPr>
        <w:t>”)</w:t>
      </w:r>
      <w:r w:rsidR="00C2448E">
        <w:rPr>
          <w:szCs w:val="24"/>
        </w:rPr>
        <w:t>.</w:t>
      </w:r>
      <w:r w:rsidR="002B1E0A" w:rsidRPr="00E82FE8">
        <w:rPr>
          <w:rStyle w:val="FootnoteReference"/>
          <w:szCs w:val="24"/>
        </w:rPr>
        <w:footnoteReference w:id="3"/>
      </w:r>
      <w:r w:rsidR="002B1E0A">
        <w:rPr>
          <w:szCs w:val="24"/>
        </w:rPr>
        <w:t xml:space="preserve">  It will </w:t>
      </w:r>
      <w:r w:rsidR="002B1E0A" w:rsidRPr="00E82FE8">
        <w:rPr>
          <w:szCs w:val="24"/>
        </w:rPr>
        <w:t>require the reporting of beneficial ownership for business entities</w:t>
      </w:r>
      <w:r w:rsidR="002B1E0A">
        <w:rPr>
          <w:szCs w:val="24"/>
        </w:rPr>
        <w:t xml:space="preserve"> formed or operating in the </w:t>
      </w:r>
      <w:r w:rsidR="002B1E0A" w:rsidRPr="00E82FE8">
        <w:rPr>
          <w:szCs w:val="24"/>
        </w:rPr>
        <w:t xml:space="preserve">U.S.  </w:t>
      </w:r>
      <w:r w:rsidR="002B1E0A">
        <w:rPr>
          <w:szCs w:val="24"/>
        </w:rPr>
        <w:t xml:space="preserve">It will also impact the lawyers </w:t>
      </w:r>
      <w:r w:rsidR="00C2448E">
        <w:rPr>
          <w:szCs w:val="24"/>
        </w:rPr>
        <w:t>who</w:t>
      </w:r>
      <w:r w:rsidR="002B1E0A">
        <w:rPr>
          <w:szCs w:val="24"/>
        </w:rPr>
        <w:t xml:space="preserve"> form legal entities.  Those lawyers will report their client’s ownership to the </w:t>
      </w:r>
      <w:r w:rsidR="00926127">
        <w:rPr>
          <w:szCs w:val="24"/>
        </w:rPr>
        <w:t xml:space="preserve">Treasury’s </w:t>
      </w:r>
      <w:r w:rsidR="002B1E0A">
        <w:rPr>
          <w:szCs w:val="24"/>
        </w:rPr>
        <w:t>FinCEN databa</w:t>
      </w:r>
      <w:r w:rsidR="00742665">
        <w:rPr>
          <w:szCs w:val="24"/>
        </w:rPr>
        <w:t>se</w:t>
      </w:r>
      <w:r w:rsidR="00926127">
        <w:rPr>
          <w:szCs w:val="24"/>
        </w:rPr>
        <w:t>.  They</w:t>
      </w:r>
      <w:r w:rsidR="002B1E0A">
        <w:rPr>
          <w:szCs w:val="24"/>
        </w:rPr>
        <w:t xml:space="preserve"> </w:t>
      </w:r>
      <w:r w:rsidR="0080757F">
        <w:rPr>
          <w:szCs w:val="24"/>
        </w:rPr>
        <w:t>may</w:t>
      </w:r>
      <w:r w:rsidR="00926127">
        <w:rPr>
          <w:szCs w:val="24"/>
        </w:rPr>
        <w:t xml:space="preserve"> </w:t>
      </w:r>
      <w:r w:rsidR="00C2448E">
        <w:rPr>
          <w:szCs w:val="24"/>
        </w:rPr>
        <w:t xml:space="preserve">also </w:t>
      </w:r>
      <w:r w:rsidR="002B1E0A">
        <w:rPr>
          <w:szCs w:val="24"/>
        </w:rPr>
        <w:t xml:space="preserve">report </w:t>
      </w:r>
      <w:r w:rsidR="00926127">
        <w:rPr>
          <w:szCs w:val="24"/>
        </w:rPr>
        <w:t xml:space="preserve">themselves </w:t>
      </w:r>
      <w:r w:rsidR="002B1E0A">
        <w:rPr>
          <w:szCs w:val="24"/>
        </w:rPr>
        <w:t>to the databa</w:t>
      </w:r>
      <w:r w:rsidR="00742665">
        <w:rPr>
          <w:szCs w:val="24"/>
        </w:rPr>
        <w:t>se</w:t>
      </w:r>
      <w:r w:rsidR="00926127">
        <w:rPr>
          <w:szCs w:val="24"/>
        </w:rPr>
        <w:t xml:space="preserve"> as company applicants</w:t>
      </w:r>
      <w:r w:rsidR="002B1E0A">
        <w:rPr>
          <w:szCs w:val="24"/>
        </w:rPr>
        <w:t xml:space="preserve">.  </w:t>
      </w:r>
      <w:r w:rsidR="00C2448E">
        <w:rPr>
          <w:szCs w:val="24"/>
        </w:rPr>
        <w:t>For lawyers forming legal entities, t</w:t>
      </w:r>
      <w:r w:rsidR="00926127">
        <w:rPr>
          <w:szCs w:val="24"/>
        </w:rPr>
        <w:t xml:space="preserve">his is a </w:t>
      </w:r>
      <w:r w:rsidR="0080757F">
        <w:rPr>
          <w:szCs w:val="24"/>
        </w:rPr>
        <w:t>major</w:t>
      </w:r>
      <w:r w:rsidR="00926127">
        <w:rPr>
          <w:szCs w:val="24"/>
        </w:rPr>
        <w:t xml:space="preserve"> change and we </w:t>
      </w:r>
      <w:r w:rsidR="002B1E0A">
        <w:rPr>
          <w:szCs w:val="24"/>
        </w:rPr>
        <w:t xml:space="preserve">shall cover this development in </w:t>
      </w:r>
      <w:r w:rsidR="00926127">
        <w:rPr>
          <w:szCs w:val="24"/>
        </w:rPr>
        <w:t xml:space="preserve">some detail.  </w:t>
      </w:r>
    </w:p>
    <w:p w14:paraId="26C0517B" w14:textId="35C4DE7A" w:rsidR="00926127" w:rsidRDefault="00926127" w:rsidP="00526D2D">
      <w:pPr>
        <w:overflowPunct w:val="0"/>
        <w:textAlignment w:val="baseline"/>
      </w:pPr>
      <w:r>
        <w:rPr>
          <w:szCs w:val="24"/>
        </w:rPr>
        <w:t xml:space="preserve">We shall also review the governance rules for distressed companies and cover new Oklahoma and Delaware cases </w:t>
      </w:r>
      <w:r w:rsidR="0080757F">
        <w:rPr>
          <w:szCs w:val="24"/>
        </w:rPr>
        <w:t>in</w:t>
      </w:r>
      <w:r>
        <w:rPr>
          <w:szCs w:val="24"/>
        </w:rPr>
        <w:t xml:space="preserve"> corporate law. </w:t>
      </w:r>
    </w:p>
    <w:p w14:paraId="7F63238A" w14:textId="05D87267" w:rsidR="00B527CA" w:rsidRPr="00E82FE8" w:rsidRDefault="00524863" w:rsidP="00524863">
      <w:pPr>
        <w:pStyle w:val="Heading3"/>
      </w:pPr>
      <w:r w:rsidRPr="00E82FE8">
        <w:rPr>
          <w:rFonts w:eastAsia="Times New Roman"/>
        </w:rPr>
        <w:t xml:space="preserve">The Trend for </w:t>
      </w:r>
      <w:r w:rsidR="00B527CA" w:rsidRPr="00E82FE8">
        <w:t xml:space="preserve">ESG </w:t>
      </w:r>
    </w:p>
    <w:p w14:paraId="19576F27" w14:textId="77777777" w:rsidR="00B527CA" w:rsidRPr="00E82FE8" w:rsidRDefault="00B527CA" w:rsidP="00B527CA">
      <w:pPr>
        <w:rPr>
          <w:shd w:val="clear" w:color="auto" w:fill="FFFFFF"/>
        </w:rPr>
      </w:pPr>
      <w:r w:rsidRPr="00E82FE8">
        <w:rPr>
          <w:shd w:val="clear" w:color="auto" w:fill="FFFFFF"/>
        </w:rPr>
        <w:t>The markets are increasingly using environmental, social and corporate governance or ESG factors in their investment analyses to identify material risks, sustainability and growth opportunities.</w:t>
      </w:r>
      <w:r w:rsidRPr="00E82FE8">
        <w:rPr>
          <w:rStyle w:val="FootnoteReference"/>
          <w:shd w:val="clear" w:color="auto" w:fill="FFFFFF"/>
        </w:rPr>
        <w:footnoteReference w:id="4"/>
      </w:r>
      <w:r w:rsidRPr="00E82FE8">
        <w:rPr>
          <w:shd w:val="clear" w:color="auto" w:fill="FFFFFF"/>
        </w:rPr>
        <w:t xml:space="preserve">  ESG evaluates the impact a company has on its employees, the environment, and the communities where it operates.  ESG can be considered a measure of corporate responsibility.</w:t>
      </w:r>
    </w:p>
    <w:p w14:paraId="4A4FF51F" w14:textId="77777777" w:rsidR="00B527CA" w:rsidRPr="00E82FE8" w:rsidRDefault="00B527CA" w:rsidP="00B527CA">
      <w:pPr>
        <w:rPr>
          <w:shd w:val="clear" w:color="auto" w:fill="FFFFFF"/>
        </w:rPr>
      </w:pPr>
      <w:r w:rsidRPr="00E82FE8">
        <w:rPr>
          <w:shd w:val="clear" w:color="auto" w:fill="FFFFFF"/>
        </w:rPr>
        <w:t>Institutional investors increasingly believe that various forms of corporate responsibility are intangible assets that can build enterprise value.</w:t>
      </w:r>
      <w:r w:rsidRPr="00E82FE8">
        <w:rPr>
          <w:rStyle w:val="FootnoteReference"/>
          <w:shd w:val="clear" w:color="auto" w:fill="FFFFFF"/>
        </w:rPr>
        <w:footnoteReference w:id="5"/>
      </w:r>
      <w:r w:rsidRPr="00E82FE8">
        <w:rPr>
          <w:shd w:val="clear" w:color="auto" w:fill="FFFFFF"/>
        </w:rPr>
        <w:t xml:space="preserve">  To measure ESG, financial analysts develop metrics that assess a company’s level of ESG commitment.  </w:t>
      </w:r>
      <w:r w:rsidRPr="00E82FE8">
        <w:rPr>
          <w:shd w:val="clear" w:color="auto" w:fill="FFFFFF"/>
        </w:rPr>
        <w:lastRenderedPageBreak/>
        <w:t>Sensing the market trends and financial benefits, companies are engaging in self-evaluations and issuing reports that aid in ESG quantification and rankings.</w:t>
      </w:r>
      <w:r w:rsidRPr="00E82FE8">
        <w:rPr>
          <w:rStyle w:val="FootnoteReference"/>
          <w:shd w:val="clear" w:color="auto" w:fill="FFFFFF"/>
        </w:rPr>
        <w:footnoteReference w:id="6"/>
      </w:r>
    </w:p>
    <w:p w14:paraId="409BEDDE" w14:textId="77777777" w:rsidR="00090872" w:rsidRDefault="00B527CA" w:rsidP="00B527CA">
      <w:pPr>
        <w:rPr>
          <w:shd w:val="clear" w:color="auto" w:fill="FFFFFF"/>
        </w:rPr>
      </w:pPr>
      <w:r w:rsidRPr="00E82FE8">
        <w:rPr>
          <w:shd w:val="clear" w:color="auto" w:fill="FFFFFF"/>
        </w:rPr>
        <w:t>In the environmental area, analysts and companies attempt to measure the impact that a company’s operations have upon the air, water, ecosystems and human health.  With the increasing recognition of the hazards of climate change, they will measure greenhouse gas emissions, the impact on biodiversity, and waste and water management practices.  ESG will assess the sustainability of a company’s operations, including its long-term access to resources and raw materials and future markets for its production.</w:t>
      </w:r>
    </w:p>
    <w:p w14:paraId="368944A0" w14:textId="444906F0" w:rsidR="00B527CA" w:rsidRPr="00E82FE8" w:rsidRDefault="00B527CA" w:rsidP="00B527CA">
      <w:pPr>
        <w:rPr>
          <w:shd w:val="clear" w:color="auto" w:fill="FFFFFF"/>
        </w:rPr>
      </w:pPr>
      <w:r w:rsidRPr="00E82FE8">
        <w:rPr>
          <w:shd w:val="clear" w:color="auto" w:fill="FFFFFF"/>
        </w:rPr>
        <w:t xml:space="preserve">The social factors include employee diversity, safe working conditions and consumer protection.  For agriculture and food producers, social factors would include animal welfare practices. </w:t>
      </w:r>
    </w:p>
    <w:p w14:paraId="7FD43B68" w14:textId="5C97C78F" w:rsidR="00090872" w:rsidRDefault="00B527CA" w:rsidP="00B527CA">
      <w:pPr>
        <w:rPr>
          <w:shd w:val="clear" w:color="auto" w:fill="FFFFFF"/>
        </w:rPr>
      </w:pPr>
      <w:r w:rsidRPr="00E82FE8">
        <w:rPr>
          <w:shd w:val="clear" w:color="auto" w:fill="FFFFFF"/>
        </w:rPr>
        <w:t>Corporate governance has a longer history than environmental and social factors.  Reforms after the Enron and similar corporate collapses emphasized the need for stronger internal controls and checks on management actions.  This led to greater board independence, disclosures relating to executive compensation, and stronger auditing practices.  The growing influence of institutional investors, guidance by proxy advisory firms, and more activist shareholders have encouraged better corporate governance.</w:t>
      </w:r>
    </w:p>
    <w:p w14:paraId="7B19A9A3" w14:textId="77777777" w:rsidR="001A4C55" w:rsidRDefault="006B2B29" w:rsidP="006B2B29">
      <w:pPr>
        <w:rPr>
          <w:rFonts w:eastAsia="Times New Roman"/>
          <w:szCs w:val="24"/>
        </w:rPr>
      </w:pPr>
      <w:r w:rsidRPr="00E82FE8">
        <w:rPr>
          <w:rFonts w:eastAsia="Times New Roman"/>
          <w:szCs w:val="24"/>
        </w:rPr>
        <w:t xml:space="preserve">The </w:t>
      </w:r>
      <w:r w:rsidRPr="00E82FE8">
        <w:rPr>
          <w:szCs w:val="24"/>
          <w:shd w:val="clear" w:color="auto" w:fill="FFFFFF"/>
        </w:rPr>
        <w:t xml:space="preserve">Business Roundtable, which represents many of America’s largest companies, </w:t>
      </w:r>
      <w:r w:rsidRPr="00E82FE8">
        <w:rPr>
          <w:szCs w:val="24"/>
          <w:bdr w:val="none" w:sz="0" w:space="0" w:color="auto" w:frame="1"/>
          <w:shd w:val="clear" w:color="auto" w:fill="FFFFFF"/>
        </w:rPr>
        <w:t>issued a statement</w:t>
      </w:r>
      <w:r w:rsidRPr="00E82FE8">
        <w:rPr>
          <w:szCs w:val="24"/>
        </w:rPr>
        <w:t xml:space="preserve"> in 2019 </w:t>
      </w:r>
      <w:r w:rsidRPr="00E82FE8">
        <w:rPr>
          <w:szCs w:val="24"/>
          <w:shd w:val="clear" w:color="auto" w:fill="FFFFFF"/>
        </w:rPr>
        <w:t>on “the purpose of a corporation”.  It said businesses should no longer advance only the interests of shareholders, but must also invest in their employees, support their communities, protect the environment and deal fairly with their suppliers.</w:t>
      </w:r>
      <w:r w:rsidRPr="00E82FE8">
        <w:rPr>
          <w:rStyle w:val="FootnoteReference"/>
          <w:rFonts w:eastAsia="Times New Roman"/>
          <w:szCs w:val="24"/>
        </w:rPr>
        <w:footnoteReference w:id="7"/>
      </w:r>
      <w:r w:rsidRPr="00E82FE8">
        <w:rPr>
          <w:rFonts w:eastAsia="Times New Roman"/>
          <w:szCs w:val="24"/>
        </w:rPr>
        <w:t xml:space="preserve">  </w:t>
      </w:r>
    </w:p>
    <w:p w14:paraId="41CAACFD" w14:textId="57A0869A" w:rsidR="00090872" w:rsidRDefault="00BD2FB5" w:rsidP="006B2B29">
      <w:pPr>
        <w:rPr>
          <w:shd w:val="clear" w:color="auto" w:fill="FFFFFF"/>
        </w:rPr>
      </w:pPr>
      <w:r w:rsidRPr="00E82FE8">
        <w:rPr>
          <w:rFonts w:eastAsia="Times New Roman"/>
          <w:szCs w:val="24"/>
        </w:rPr>
        <w:lastRenderedPageBreak/>
        <w:t xml:space="preserve">Larry Fink, </w:t>
      </w:r>
      <w:r w:rsidR="006B2B29" w:rsidRPr="00E82FE8">
        <w:rPr>
          <w:rFonts w:eastAsia="Times New Roman"/>
          <w:szCs w:val="24"/>
        </w:rPr>
        <w:t xml:space="preserve">CEO of </w:t>
      </w:r>
      <w:r w:rsidR="006B2B29" w:rsidRPr="00E82FE8">
        <w:t xml:space="preserve">BlackRock, the world’s largest investment management firm, </w:t>
      </w:r>
      <w:r w:rsidR="006E4D49">
        <w:t xml:space="preserve">has been a vocal proponent of ESG investing.  </w:t>
      </w:r>
      <w:r w:rsidR="006B2B29" w:rsidRPr="00E82FE8">
        <w:t xml:space="preserve">In </w:t>
      </w:r>
      <w:r w:rsidR="006E4D49">
        <w:t xml:space="preserve">his most recent annual </w:t>
      </w:r>
      <w:r w:rsidR="006B2B29" w:rsidRPr="00E82FE8">
        <w:t>letter</w:t>
      </w:r>
      <w:r w:rsidR="006B2B29" w:rsidRPr="006E4D49">
        <w:t xml:space="preserve">, </w:t>
      </w:r>
      <w:r w:rsidR="006E4D49">
        <w:t xml:space="preserve">he wrote </w:t>
      </w:r>
      <w:r w:rsidR="0010347B">
        <w:t>“</w:t>
      </w:r>
      <w:r w:rsidR="0010347B">
        <w:rPr>
          <w:rFonts w:ascii="Arial" w:hAnsi="Arial" w:cs="Arial"/>
          <w:color w:val="000000"/>
          <w:shd w:val="clear" w:color="auto" w:fill="FFFFFF"/>
        </w:rPr>
        <w:t>w</w:t>
      </w:r>
      <w:r w:rsidR="0010347B" w:rsidRPr="0010347B">
        <w:rPr>
          <w:color w:val="000000"/>
          <w:shd w:val="clear" w:color="auto" w:fill="FFFFFF"/>
        </w:rPr>
        <w:t>e are asking companies to set short-, medium-, and long-term targets for greenhouse gas reductions. These targets, and the quality of plans to meet them, are critical to the long-term economic interests of your shareholders.”</w:t>
      </w:r>
      <w:r w:rsidR="0010347B" w:rsidRPr="00E82FE8">
        <w:rPr>
          <w:rStyle w:val="FootnoteReference"/>
          <w:shd w:val="clear" w:color="auto" w:fill="FFFFFF"/>
        </w:rPr>
        <w:footnoteReference w:id="8"/>
      </w:r>
      <w:r w:rsidR="0010347B" w:rsidRPr="0010347B">
        <w:rPr>
          <w:color w:val="000000"/>
          <w:shd w:val="clear" w:color="auto" w:fill="FFFFFF"/>
        </w:rPr>
        <w:t xml:space="preserve">  He encouraged companies to make reports based on the Task Force on Climate-related Financial Disclosures.</w:t>
      </w:r>
      <w:r w:rsidR="006B2B29" w:rsidRPr="00E82FE8">
        <w:rPr>
          <w:shd w:val="clear" w:color="auto" w:fill="FFFFFF"/>
        </w:rPr>
        <w:t xml:space="preserve">  </w:t>
      </w:r>
      <w:r w:rsidR="0010347B">
        <w:rPr>
          <w:shd w:val="clear" w:color="auto" w:fill="FFFFFF"/>
        </w:rPr>
        <w:t xml:space="preserve">BlackRock’s </w:t>
      </w:r>
      <w:r w:rsidR="00163BA7">
        <w:rPr>
          <w:shd w:val="clear" w:color="auto" w:fill="FFFFFF"/>
        </w:rPr>
        <w:t xml:space="preserve">position </w:t>
      </w:r>
      <w:r w:rsidR="0010347B">
        <w:rPr>
          <w:shd w:val="clear" w:color="auto" w:fill="FFFFFF"/>
        </w:rPr>
        <w:t xml:space="preserve">emphasizes a long-term, sustainable approach and </w:t>
      </w:r>
      <w:r w:rsidR="006B2B29" w:rsidRPr="00E82FE8">
        <w:rPr>
          <w:shd w:val="clear" w:color="auto" w:fill="FFFFFF"/>
        </w:rPr>
        <w:t xml:space="preserve">a belief that profits and </w:t>
      </w:r>
      <w:r w:rsidR="00B832A2" w:rsidRPr="00E82FE8">
        <w:rPr>
          <w:shd w:val="clear" w:color="auto" w:fill="FFFFFF"/>
        </w:rPr>
        <w:t xml:space="preserve">social responsibility </w:t>
      </w:r>
      <w:r w:rsidR="006B2B29" w:rsidRPr="00E82FE8">
        <w:rPr>
          <w:shd w:val="clear" w:color="auto" w:fill="FFFFFF"/>
        </w:rPr>
        <w:t xml:space="preserve">are </w:t>
      </w:r>
      <w:r w:rsidR="0080757F" w:rsidRPr="00E82FE8">
        <w:rPr>
          <w:shd w:val="clear" w:color="auto" w:fill="FFFFFF"/>
        </w:rPr>
        <w:t>complimentary</w:t>
      </w:r>
      <w:r w:rsidR="0080757F">
        <w:rPr>
          <w:shd w:val="clear" w:color="auto" w:fill="FFFFFF"/>
        </w:rPr>
        <w:t>,</w:t>
      </w:r>
      <w:r w:rsidR="0080757F" w:rsidRPr="00E82FE8">
        <w:rPr>
          <w:shd w:val="clear" w:color="auto" w:fill="FFFFFF"/>
        </w:rPr>
        <w:t xml:space="preserve"> </w:t>
      </w:r>
      <w:r w:rsidR="006B2B29" w:rsidRPr="00E82FE8">
        <w:rPr>
          <w:shd w:val="clear" w:color="auto" w:fill="FFFFFF"/>
        </w:rPr>
        <w:t>not incompatible.  A company’s better treatment of its employees, customers, community and the environment improve its chances for long-term sustainability.</w:t>
      </w:r>
    </w:p>
    <w:p w14:paraId="56CD0195" w14:textId="2E9EDCEF" w:rsidR="00916CE7" w:rsidRPr="008605DE" w:rsidRDefault="00916CE7" w:rsidP="006B2B29">
      <w:pPr>
        <w:rPr>
          <w:szCs w:val="24"/>
          <w:shd w:val="clear" w:color="auto" w:fill="FFFFFF"/>
        </w:rPr>
      </w:pPr>
      <w:r w:rsidRPr="008605DE">
        <w:rPr>
          <w:szCs w:val="24"/>
          <w:shd w:val="clear" w:color="auto" w:fill="FFFFFF"/>
        </w:rPr>
        <w:t xml:space="preserve">Despite weakening economy, support for ESG </w:t>
      </w:r>
      <w:r w:rsidR="00163BA7">
        <w:rPr>
          <w:szCs w:val="24"/>
          <w:shd w:val="clear" w:color="auto" w:fill="FFFFFF"/>
        </w:rPr>
        <w:t xml:space="preserve">principles </w:t>
      </w:r>
      <w:r w:rsidRPr="008605DE">
        <w:rPr>
          <w:szCs w:val="24"/>
          <w:shd w:val="clear" w:color="auto" w:fill="FFFFFF"/>
        </w:rPr>
        <w:t xml:space="preserve">remains strong. </w:t>
      </w:r>
      <w:r w:rsidR="00163BA7">
        <w:rPr>
          <w:szCs w:val="24"/>
          <w:shd w:val="clear" w:color="auto" w:fill="FFFFFF"/>
        </w:rPr>
        <w:t xml:space="preserve"> </w:t>
      </w:r>
      <w:r w:rsidRPr="008605DE">
        <w:rPr>
          <w:szCs w:val="24"/>
          <w:shd w:val="clear" w:color="auto" w:fill="FFFFFF"/>
        </w:rPr>
        <w:t xml:space="preserve">A recent survey </w:t>
      </w:r>
      <w:r w:rsidR="00BF40FE" w:rsidRPr="008605DE">
        <w:rPr>
          <w:szCs w:val="24"/>
          <w:shd w:val="clear" w:color="auto" w:fill="FFFFFF"/>
        </w:rPr>
        <w:t xml:space="preserve">by the </w:t>
      </w:r>
      <w:r w:rsidR="00BF40FE">
        <w:rPr>
          <w:szCs w:val="24"/>
          <w:shd w:val="clear" w:color="auto" w:fill="FFFFFF"/>
        </w:rPr>
        <w:t xml:space="preserve">global </w:t>
      </w:r>
      <w:r w:rsidR="00BF40FE" w:rsidRPr="008605DE">
        <w:rPr>
          <w:szCs w:val="24"/>
          <w:shd w:val="clear" w:color="auto" w:fill="FFFFFF"/>
        </w:rPr>
        <w:t xml:space="preserve">accounting firm, KPMG, </w:t>
      </w:r>
      <w:r w:rsidRPr="008605DE">
        <w:rPr>
          <w:szCs w:val="24"/>
          <w:shd w:val="clear" w:color="auto" w:fill="FFFFFF"/>
        </w:rPr>
        <w:t xml:space="preserve">of </w:t>
      </w:r>
      <w:r w:rsidR="00BF40FE" w:rsidRPr="008605DE">
        <w:rPr>
          <w:color w:val="343E47"/>
          <w:szCs w:val="24"/>
          <w:shd w:val="clear" w:color="auto" w:fill="FFFFFF"/>
        </w:rPr>
        <w:t>1,325 global CEOs across 11 markets between July 12 and August 24, 2022</w:t>
      </w:r>
      <w:r w:rsidR="00BF40FE">
        <w:rPr>
          <w:color w:val="343E47"/>
          <w:szCs w:val="24"/>
          <w:shd w:val="clear" w:color="auto" w:fill="FFFFFF"/>
        </w:rPr>
        <w:t xml:space="preserve">, </w:t>
      </w:r>
      <w:r w:rsidRPr="008605DE">
        <w:rPr>
          <w:szCs w:val="24"/>
          <w:shd w:val="clear" w:color="auto" w:fill="FFFFFF"/>
        </w:rPr>
        <w:t xml:space="preserve">found </w:t>
      </w:r>
      <w:r w:rsidR="0030787C">
        <w:rPr>
          <w:szCs w:val="24"/>
          <w:shd w:val="clear" w:color="auto" w:fill="FFFFFF"/>
        </w:rPr>
        <w:t xml:space="preserve">increasing </w:t>
      </w:r>
      <w:r w:rsidR="002D220F">
        <w:rPr>
          <w:szCs w:val="24"/>
          <w:shd w:val="clear" w:color="auto" w:fill="FFFFFF"/>
        </w:rPr>
        <w:t xml:space="preserve">support for ESG initiatives and a growing belief that ESG programs will improve financial performance.  The survey asserts that “CEOs increasingly </w:t>
      </w:r>
      <w:r w:rsidR="0030787C">
        <w:rPr>
          <w:szCs w:val="24"/>
          <w:shd w:val="clear" w:color="auto" w:fill="FFFFFF"/>
        </w:rPr>
        <w:t>understand</w:t>
      </w:r>
      <w:r w:rsidR="002D220F">
        <w:rPr>
          <w:szCs w:val="24"/>
          <w:shd w:val="clear" w:color="auto" w:fill="FFFFFF"/>
        </w:rPr>
        <w:t xml:space="preserve"> that </w:t>
      </w:r>
      <w:r w:rsidR="0030787C">
        <w:rPr>
          <w:szCs w:val="24"/>
          <w:shd w:val="clear" w:color="auto" w:fill="FFFFFF"/>
        </w:rPr>
        <w:t>businesses</w:t>
      </w:r>
      <w:r w:rsidR="002D220F">
        <w:rPr>
          <w:szCs w:val="24"/>
          <w:shd w:val="clear" w:color="auto" w:fill="FFFFFF"/>
        </w:rPr>
        <w:t xml:space="preserve"> </w:t>
      </w:r>
      <w:r w:rsidR="0030787C">
        <w:rPr>
          <w:szCs w:val="24"/>
          <w:shd w:val="clear" w:color="auto" w:fill="FFFFFF"/>
        </w:rPr>
        <w:t>embracing</w:t>
      </w:r>
      <w:r w:rsidR="002D220F">
        <w:rPr>
          <w:szCs w:val="24"/>
          <w:shd w:val="clear" w:color="auto" w:fill="FFFFFF"/>
        </w:rPr>
        <w:t xml:space="preserve"> ESG are best able to </w:t>
      </w:r>
      <w:r w:rsidR="0030787C">
        <w:rPr>
          <w:szCs w:val="24"/>
          <w:shd w:val="clear" w:color="auto" w:fill="FFFFFF"/>
        </w:rPr>
        <w:t>secure</w:t>
      </w:r>
      <w:r w:rsidR="002D220F">
        <w:rPr>
          <w:szCs w:val="24"/>
          <w:shd w:val="clear" w:color="auto" w:fill="FFFFFF"/>
        </w:rPr>
        <w:t xml:space="preserve"> talent, strengthen employee value </w:t>
      </w:r>
      <w:r w:rsidR="0030787C">
        <w:rPr>
          <w:szCs w:val="24"/>
          <w:shd w:val="clear" w:color="auto" w:fill="FFFFFF"/>
        </w:rPr>
        <w:t>proposition</w:t>
      </w:r>
      <w:r w:rsidR="002D220F">
        <w:rPr>
          <w:szCs w:val="24"/>
          <w:shd w:val="clear" w:color="auto" w:fill="FFFFFF"/>
        </w:rPr>
        <w:t xml:space="preserve">, attract </w:t>
      </w:r>
      <w:r w:rsidR="0030787C">
        <w:rPr>
          <w:szCs w:val="24"/>
          <w:shd w:val="clear" w:color="auto" w:fill="FFFFFF"/>
        </w:rPr>
        <w:t>loyal</w:t>
      </w:r>
      <w:r w:rsidR="002D220F">
        <w:rPr>
          <w:szCs w:val="24"/>
          <w:shd w:val="clear" w:color="auto" w:fill="FFFFFF"/>
        </w:rPr>
        <w:t xml:space="preserve"> customers and raise capital.</w:t>
      </w:r>
      <w:r w:rsidR="0030787C">
        <w:rPr>
          <w:szCs w:val="24"/>
          <w:shd w:val="clear" w:color="auto" w:fill="FFFFFF"/>
        </w:rPr>
        <w:t>”</w:t>
      </w:r>
      <w:r w:rsidR="0030787C">
        <w:rPr>
          <w:rStyle w:val="FootnoteReference"/>
          <w:szCs w:val="24"/>
          <w:shd w:val="clear" w:color="auto" w:fill="FFFFFF"/>
        </w:rPr>
        <w:footnoteReference w:id="9"/>
      </w:r>
      <w:r w:rsidR="002D220F">
        <w:rPr>
          <w:szCs w:val="24"/>
          <w:shd w:val="clear" w:color="auto" w:fill="FFFFFF"/>
        </w:rPr>
        <w:t xml:space="preserve"> </w:t>
      </w:r>
    </w:p>
    <w:p w14:paraId="5F726301" w14:textId="2873A19D" w:rsidR="006B2B29" w:rsidRPr="00E82FE8" w:rsidRDefault="004B3D91" w:rsidP="00990F9F">
      <w:pPr>
        <w:pStyle w:val="Heading4"/>
        <w:rPr>
          <w:shd w:val="clear" w:color="auto" w:fill="FFFFFF"/>
        </w:rPr>
      </w:pPr>
      <w:r w:rsidRPr="00E82FE8">
        <w:rPr>
          <w:shd w:val="clear" w:color="auto" w:fill="FFFFFF"/>
        </w:rPr>
        <w:t xml:space="preserve">The </w:t>
      </w:r>
      <w:r w:rsidR="00665B61">
        <w:rPr>
          <w:shd w:val="clear" w:color="auto" w:fill="FFFFFF"/>
        </w:rPr>
        <w:t>Backlash Against ESG</w:t>
      </w:r>
    </w:p>
    <w:p w14:paraId="74424B29" w14:textId="77777777" w:rsidR="00F77E9F" w:rsidRDefault="00C2448E" w:rsidP="001A4C55">
      <w:pPr>
        <w:rPr>
          <w:shd w:val="clear" w:color="auto" w:fill="FFFFFF"/>
        </w:rPr>
      </w:pPr>
      <w:r>
        <w:rPr>
          <w:shd w:val="clear" w:color="auto" w:fill="FFFFFF"/>
        </w:rPr>
        <w:t>ESG support is not universal.  Recent criticism</w:t>
      </w:r>
      <w:r w:rsidR="00CF7A9D">
        <w:rPr>
          <w:shd w:val="clear" w:color="auto" w:fill="FFFFFF"/>
        </w:rPr>
        <w:t xml:space="preserve"> has focused on the lack of </w:t>
      </w:r>
      <w:r w:rsidR="00984A58">
        <w:rPr>
          <w:shd w:val="clear" w:color="auto" w:fill="FFFFFF"/>
        </w:rPr>
        <w:t xml:space="preserve">standard, </w:t>
      </w:r>
      <w:r w:rsidR="00CF7A9D">
        <w:rPr>
          <w:shd w:val="clear" w:color="auto" w:fill="FFFFFF"/>
        </w:rPr>
        <w:t xml:space="preserve">objective criteria for measuring ESG.  </w:t>
      </w:r>
      <w:r w:rsidR="0030787C">
        <w:rPr>
          <w:shd w:val="clear" w:color="auto" w:fill="FFFFFF"/>
        </w:rPr>
        <w:t>Under the current system, c</w:t>
      </w:r>
      <w:r w:rsidR="00CF7A9D">
        <w:rPr>
          <w:shd w:val="clear" w:color="auto" w:fill="FFFFFF"/>
        </w:rPr>
        <w:t xml:space="preserve">ompanies </w:t>
      </w:r>
      <w:r w:rsidR="00984A58">
        <w:rPr>
          <w:shd w:val="clear" w:color="auto" w:fill="FFFFFF"/>
        </w:rPr>
        <w:t xml:space="preserve">and the funds that invest in them </w:t>
      </w:r>
      <w:r w:rsidR="00CF7A9D">
        <w:rPr>
          <w:shd w:val="clear" w:color="auto" w:fill="FFFFFF"/>
        </w:rPr>
        <w:t>can</w:t>
      </w:r>
      <w:r w:rsidR="00A4140F">
        <w:rPr>
          <w:shd w:val="clear" w:color="auto" w:fill="FFFFFF"/>
        </w:rPr>
        <w:t xml:space="preserve"> </w:t>
      </w:r>
      <w:r w:rsidR="0030787C">
        <w:rPr>
          <w:shd w:val="clear" w:color="auto" w:fill="FFFFFF"/>
        </w:rPr>
        <w:t xml:space="preserve">largely </w:t>
      </w:r>
      <w:r w:rsidR="00A4140F">
        <w:rPr>
          <w:shd w:val="clear" w:color="auto" w:fill="FFFFFF"/>
        </w:rPr>
        <w:t>write</w:t>
      </w:r>
      <w:r w:rsidR="00CF7A9D">
        <w:rPr>
          <w:shd w:val="clear" w:color="auto" w:fill="FFFFFF"/>
        </w:rPr>
        <w:t xml:space="preserve"> their own criteria</w:t>
      </w:r>
      <w:r w:rsidR="00984A58">
        <w:rPr>
          <w:shd w:val="clear" w:color="auto" w:fill="FFFFFF"/>
        </w:rPr>
        <w:t xml:space="preserve"> and </w:t>
      </w:r>
      <w:r w:rsidR="00A4140F">
        <w:rPr>
          <w:shd w:val="clear" w:color="auto" w:fill="FFFFFF"/>
        </w:rPr>
        <w:t xml:space="preserve">shape it </w:t>
      </w:r>
      <w:r w:rsidR="00984A58">
        <w:rPr>
          <w:shd w:val="clear" w:color="auto" w:fill="FFFFFF"/>
        </w:rPr>
        <w:t xml:space="preserve">to support </w:t>
      </w:r>
      <w:r w:rsidR="00A4140F">
        <w:rPr>
          <w:shd w:val="clear" w:color="auto" w:fill="FFFFFF"/>
        </w:rPr>
        <w:t xml:space="preserve">a desired </w:t>
      </w:r>
      <w:r w:rsidR="00984A58">
        <w:rPr>
          <w:shd w:val="clear" w:color="auto" w:fill="FFFFFF"/>
        </w:rPr>
        <w:t>outcome.  If everyone sets their own standards</w:t>
      </w:r>
      <w:r w:rsidR="00CF7A9D">
        <w:rPr>
          <w:shd w:val="clear" w:color="auto" w:fill="FFFFFF"/>
        </w:rPr>
        <w:t xml:space="preserve">, everyone can be a winner.  </w:t>
      </w:r>
      <w:r w:rsidR="00F77E9F">
        <w:rPr>
          <w:shd w:val="clear" w:color="auto" w:fill="FFFFFF"/>
        </w:rPr>
        <w:t>This practice – called greenwashing – undermines the objectives sought by ESG:  improving capitalism and slowing climate change.</w:t>
      </w:r>
      <w:r w:rsidR="00F77E9F">
        <w:rPr>
          <w:rStyle w:val="FootnoteReference"/>
          <w:shd w:val="clear" w:color="auto" w:fill="FFFFFF"/>
        </w:rPr>
        <w:footnoteReference w:id="10"/>
      </w:r>
      <w:r w:rsidR="00F77E9F">
        <w:rPr>
          <w:shd w:val="clear" w:color="auto" w:fill="FFFFFF"/>
        </w:rPr>
        <w:t xml:space="preserve">  </w:t>
      </w:r>
    </w:p>
    <w:p w14:paraId="60176CD5" w14:textId="4C8CB02D" w:rsidR="00AA6FD6" w:rsidRDefault="00DB39A3" w:rsidP="001A4C55">
      <w:pPr>
        <w:rPr>
          <w:shd w:val="clear" w:color="auto" w:fill="FFFFFF"/>
        </w:rPr>
      </w:pPr>
      <w:r>
        <w:rPr>
          <w:shd w:val="clear" w:color="auto" w:fill="FFFFFF"/>
        </w:rPr>
        <w:lastRenderedPageBreak/>
        <w:t>The problem is enhanced by poor correlation among the multiple rating agencies.</w:t>
      </w:r>
      <w:r>
        <w:rPr>
          <w:rStyle w:val="FootnoteReference"/>
          <w:shd w:val="clear" w:color="auto" w:fill="FFFFFF"/>
        </w:rPr>
        <w:footnoteReference w:id="11"/>
      </w:r>
      <w:r>
        <w:rPr>
          <w:shd w:val="clear" w:color="auto" w:fill="FFFFFF"/>
        </w:rPr>
        <w:t xml:space="preserve">  </w:t>
      </w:r>
      <w:r w:rsidR="00F77E9F">
        <w:rPr>
          <w:shd w:val="clear" w:color="auto" w:fill="FFFFFF"/>
        </w:rPr>
        <w:t>A recent study of six agencies found they used over 700 metrics across 64 categories</w:t>
      </w:r>
      <w:r w:rsidR="009944A4">
        <w:rPr>
          <w:shd w:val="clear" w:color="auto" w:fill="FFFFFF"/>
        </w:rPr>
        <w:t>,</w:t>
      </w:r>
      <w:r w:rsidR="00F77E9F">
        <w:rPr>
          <w:shd w:val="clear" w:color="auto" w:fill="FFFFFF"/>
        </w:rPr>
        <w:t xml:space="preserve"> only ten of which were common to all.  Earlier this year, the S&amp;P Dow Jones ESG index booted Tesla from the index </w:t>
      </w:r>
      <w:r w:rsidR="00CC5196">
        <w:rPr>
          <w:shd w:val="clear" w:color="auto" w:fill="FFFFFF"/>
        </w:rPr>
        <w:t xml:space="preserve">while </w:t>
      </w:r>
      <w:r w:rsidR="00F77E9F">
        <w:rPr>
          <w:shd w:val="clear" w:color="auto" w:fill="FFFFFF"/>
        </w:rPr>
        <w:t xml:space="preserve">companies like ExxonMobil remained. </w:t>
      </w:r>
      <w:r w:rsidR="00CC5196">
        <w:rPr>
          <w:shd w:val="clear" w:color="auto" w:fill="FFFFFF"/>
        </w:rPr>
        <w:t xml:space="preserve"> Arms makers were largely excluded until the Russia</w:t>
      </w:r>
      <w:r w:rsidR="004778FD">
        <w:rPr>
          <w:shd w:val="clear" w:color="auto" w:fill="FFFFFF"/>
        </w:rPr>
        <w:t>n</w:t>
      </w:r>
      <w:r w:rsidR="00CC5196">
        <w:rPr>
          <w:shd w:val="clear" w:color="auto" w:fill="FFFFFF"/>
        </w:rPr>
        <w:t xml:space="preserve"> attack on Ukraine, when they were feted as defenders of democracy.</w:t>
      </w:r>
      <w:r w:rsidR="00E01962">
        <w:rPr>
          <w:rStyle w:val="FootnoteReference"/>
          <w:shd w:val="clear" w:color="auto" w:fill="FFFFFF"/>
        </w:rPr>
        <w:footnoteReference w:id="12"/>
      </w:r>
      <w:r w:rsidR="00CC5196">
        <w:rPr>
          <w:shd w:val="clear" w:color="auto" w:fill="FFFFFF"/>
        </w:rPr>
        <w:t xml:space="preserve"> </w:t>
      </w:r>
    </w:p>
    <w:p w14:paraId="04A872E1" w14:textId="623E8D77" w:rsidR="006D686B" w:rsidRDefault="0030787C" w:rsidP="001A4C55">
      <w:r>
        <w:rPr>
          <w:shd w:val="clear" w:color="auto" w:fill="FFFFFF"/>
        </w:rPr>
        <w:t>The solution is to f</w:t>
      </w:r>
      <w:r w:rsidR="00323C5D">
        <w:rPr>
          <w:shd w:val="clear" w:color="auto" w:fill="FFFFFF"/>
        </w:rPr>
        <w:t>ix better measures</w:t>
      </w:r>
      <w:r>
        <w:rPr>
          <w:shd w:val="clear" w:color="auto" w:fill="FFFFFF"/>
        </w:rPr>
        <w:t xml:space="preserve"> and improve disclosures</w:t>
      </w:r>
      <w:r w:rsidR="00323C5D">
        <w:rPr>
          <w:shd w:val="clear" w:color="auto" w:fill="FFFFFF"/>
        </w:rPr>
        <w:t xml:space="preserve">.  </w:t>
      </w:r>
      <w:r>
        <w:rPr>
          <w:shd w:val="clear" w:color="auto" w:fill="FFFFFF"/>
        </w:rPr>
        <w:t>That will likely come from better re</w:t>
      </w:r>
      <w:r w:rsidR="004575A1">
        <w:rPr>
          <w:shd w:val="clear" w:color="auto" w:fill="FFFFFF"/>
        </w:rPr>
        <w:t xml:space="preserve">gulatory </w:t>
      </w:r>
      <w:r w:rsidR="00AD37D8">
        <w:rPr>
          <w:shd w:val="clear" w:color="auto" w:fill="FFFFFF"/>
        </w:rPr>
        <w:t>oversight</w:t>
      </w:r>
      <w:r>
        <w:rPr>
          <w:shd w:val="clear" w:color="auto" w:fill="FFFFFF"/>
        </w:rPr>
        <w:t>.  The Securities and Exchange Commission (“</w:t>
      </w:r>
      <w:r w:rsidR="004575A1" w:rsidRPr="006D686B">
        <w:rPr>
          <w:i/>
          <w:iCs/>
          <w:shd w:val="clear" w:color="auto" w:fill="FFFFFF"/>
        </w:rPr>
        <w:t>SEC</w:t>
      </w:r>
      <w:r>
        <w:rPr>
          <w:shd w:val="clear" w:color="auto" w:fill="FFFFFF"/>
        </w:rPr>
        <w:t>”)</w:t>
      </w:r>
      <w:r w:rsidR="006D686B">
        <w:rPr>
          <w:shd w:val="clear" w:color="auto" w:fill="FFFFFF"/>
        </w:rPr>
        <w:t xml:space="preserve"> has proposed regulations addressing company disclosures relating to climate-change.</w:t>
      </w:r>
      <w:r w:rsidR="006D686B">
        <w:rPr>
          <w:rStyle w:val="FootnoteReference"/>
        </w:rPr>
        <w:footnoteReference w:id="13"/>
      </w:r>
      <w:r w:rsidR="006D686B">
        <w:rPr>
          <w:shd w:val="clear" w:color="auto" w:fill="FFFFFF"/>
        </w:rPr>
        <w:t xml:space="preserve">  The </w:t>
      </w:r>
      <w:r w:rsidR="006D686B">
        <w:t xml:space="preserve">proposal would mandate disclosure on climate-related risks to a company’s current and future business, the risks related to climate-related events, its greenhouse gas emissions, including the impact of its entire value chain, and details on other climate-related targets and whether it is meeting them.  For large reporting companies, the information would be audited. </w:t>
      </w:r>
    </w:p>
    <w:p w14:paraId="37160F8B" w14:textId="5919719F" w:rsidR="006D686B" w:rsidRDefault="006D686B" w:rsidP="001A4C55">
      <w:r>
        <w:rPr>
          <w:shd w:val="clear" w:color="auto" w:fill="FFFFFF"/>
        </w:rPr>
        <w:t xml:space="preserve">The SEC’s proposal is one piece of </w:t>
      </w:r>
      <w:r w:rsidR="004778FD">
        <w:rPr>
          <w:shd w:val="clear" w:color="auto" w:fill="FFFFFF"/>
        </w:rPr>
        <w:t xml:space="preserve">the </w:t>
      </w:r>
      <w:r>
        <w:rPr>
          <w:shd w:val="clear" w:color="auto" w:fill="FFFFFF"/>
        </w:rPr>
        <w:t xml:space="preserve">international efforts to address ESG disclosures.  </w:t>
      </w:r>
      <w:r>
        <w:t xml:space="preserve">The European Union has </w:t>
      </w:r>
      <w:r w:rsidR="00277EBE">
        <w:t xml:space="preserve">also proposed regulations, which </w:t>
      </w:r>
      <w:r>
        <w:t xml:space="preserve">would </w:t>
      </w:r>
      <w:r w:rsidR="00277EBE">
        <w:t>a</w:t>
      </w:r>
      <w:r>
        <w:t xml:space="preserve">ssess a company’s impact on people and the environment.  </w:t>
      </w:r>
      <w:r w:rsidR="00277EBE">
        <w:t xml:space="preserve">It </w:t>
      </w:r>
      <w:r>
        <w:t>is pushing for corporate sustainability reporting</w:t>
      </w:r>
      <w:r w:rsidR="00277EBE">
        <w:t xml:space="preserve">, which would impact an estimated </w:t>
      </w:r>
      <w:r>
        <w:t xml:space="preserve">49,000 companies. </w:t>
      </w:r>
      <w:r w:rsidR="00277EBE">
        <w:t xml:space="preserve">The </w:t>
      </w:r>
      <w:r>
        <w:t>International Sustainability Standards Board</w:t>
      </w:r>
      <w:r w:rsidR="00277EBE">
        <w:rPr>
          <w:rStyle w:val="FootnoteReference"/>
        </w:rPr>
        <w:footnoteReference w:id="14"/>
      </w:r>
      <w:r w:rsidR="00277EBE">
        <w:t xml:space="preserve"> has also proposed disclosure regulations.  The global activity reflects the</w:t>
      </w:r>
      <w:r>
        <w:t xml:space="preserve"> need </w:t>
      </w:r>
      <w:r w:rsidR="00277EBE">
        <w:t xml:space="preserve">for </w:t>
      </w:r>
      <w:r>
        <w:t xml:space="preserve">international correlation for effective standard-setting. </w:t>
      </w:r>
    </w:p>
    <w:p w14:paraId="410AA247" w14:textId="78E973C8" w:rsidR="00A4140F" w:rsidRDefault="0082525F" w:rsidP="001A4C55">
      <w:pPr>
        <w:rPr>
          <w:shd w:val="clear" w:color="auto" w:fill="FFFFFF"/>
        </w:rPr>
      </w:pPr>
      <w:r>
        <w:rPr>
          <w:shd w:val="clear" w:color="auto" w:fill="FFFFFF"/>
        </w:rPr>
        <w:t>S</w:t>
      </w:r>
      <w:r w:rsidR="004575A1">
        <w:rPr>
          <w:shd w:val="clear" w:color="auto" w:fill="FFFFFF"/>
        </w:rPr>
        <w:t>tandardize</w:t>
      </w:r>
      <w:r>
        <w:rPr>
          <w:shd w:val="clear" w:color="auto" w:fill="FFFFFF"/>
        </w:rPr>
        <w:t>d</w:t>
      </w:r>
      <w:r w:rsidR="004575A1">
        <w:rPr>
          <w:shd w:val="clear" w:color="auto" w:fill="FFFFFF"/>
        </w:rPr>
        <w:t xml:space="preserve"> measures</w:t>
      </w:r>
      <w:r>
        <w:rPr>
          <w:shd w:val="clear" w:color="auto" w:fill="FFFFFF"/>
        </w:rPr>
        <w:t xml:space="preserve"> and </w:t>
      </w:r>
      <w:r w:rsidR="004575A1">
        <w:rPr>
          <w:shd w:val="clear" w:color="auto" w:fill="FFFFFF"/>
        </w:rPr>
        <w:t>improve</w:t>
      </w:r>
      <w:r>
        <w:rPr>
          <w:shd w:val="clear" w:color="auto" w:fill="FFFFFF"/>
        </w:rPr>
        <w:t>d</w:t>
      </w:r>
      <w:r w:rsidR="004575A1">
        <w:rPr>
          <w:shd w:val="clear" w:color="auto" w:fill="FFFFFF"/>
        </w:rPr>
        <w:t xml:space="preserve"> disclosures</w:t>
      </w:r>
      <w:r>
        <w:rPr>
          <w:shd w:val="clear" w:color="auto" w:fill="FFFFFF"/>
        </w:rPr>
        <w:t xml:space="preserve"> would theoretically</w:t>
      </w:r>
      <w:r w:rsidR="004575A1">
        <w:rPr>
          <w:shd w:val="clear" w:color="auto" w:fill="FFFFFF"/>
        </w:rPr>
        <w:t xml:space="preserve"> </w:t>
      </w:r>
      <w:r>
        <w:rPr>
          <w:shd w:val="clear" w:color="auto" w:fill="FFFFFF"/>
        </w:rPr>
        <w:t xml:space="preserve">enable investors to determine </w:t>
      </w:r>
      <w:r w:rsidR="00A3695C">
        <w:rPr>
          <w:shd w:val="clear" w:color="auto" w:fill="FFFFFF"/>
        </w:rPr>
        <w:t>how exposed a c</w:t>
      </w:r>
      <w:r w:rsidR="00AD37D8">
        <w:rPr>
          <w:shd w:val="clear" w:color="auto" w:fill="FFFFFF"/>
        </w:rPr>
        <w:t xml:space="preserve">ompany </w:t>
      </w:r>
      <w:r w:rsidR="00A3695C">
        <w:rPr>
          <w:shd w:val="clear" w:color="auto" w:fill="FFFFFF"/>
        </w:rPr>
        <w:t xml:space="preserve">is to </w:t>
      </w:r>
      <w:r>
        <w:rPr>
          <w:shd w:val="clear" w:color="auto" w:fill="FFFFFF"/>
        </w:rPr>
        <w:t xml:space="preserve">climate-related </w:t>
      </w:r>
      <w:r w:rsidR="00A3695C">
        <w:rPr>
          <w:shd w:val="clear" w:color="auto" w:fill="FFFFFF"/>
        </w:rPr>
        <w:t>risks</w:t>
      </w:r>
      <w:r>
        <w:rPr>
          <w:shd w:val="clear" w:color="auto" w:fill="FFFFFF"/>
        </w:rPr>
        <w:t xml:space="preserve"> and other </w:t>
      </w:r>
      <w:r>
        <w:rPr>
          <w:shd w:val="clear" w:color="auto" w:fill="FFFFFF"/>
        </w:rPr>
        <w:lastRenderedPageBreak/>
        <w:t>externalities. This would</w:t>
      </w:r>
      <w:r w:rsidR="00A3695C">
        <w:rPr>
          <w:shd w:val="clear" w:color="auto" w:fill="FFFFFF"/>
        </w:rPr>
        <w:t xml:space="preserve"> </w:t>
      </w:r>
      <w:r>
        <w:rPr>
          <w:shd w:val="clear" w:color="auto" w:fill="FFFFFF"/>
        </w:rPr>
        <w:t xml:space="preserve">either </w:t>
      </w:r>
      <w:r w:rsidR="00A3695C">
        <w:rPr>
          <w:shd w:val="clear" w:color="auto" w:fill="FFFFFF"/>
        </w:rPr>
        <w:t>dri</w:t>
      </w:r>
      <w:r>
        <w:rPr>
          <w:shd w:val="clear" w:color="auto" w:fill="FFFFFF"/>
        </w:rPr>
        <w:t>v</w:t>
      </w:r>
      <w:r w:rsidR="00A3695C">
        <w:rPr>
          <w:shd w:val="clear" w:color="auto" w:fill="FFFFFF"/>
        </w:rPr>
        <w:t>e its share price and sto</w:t>
      </w:r>
      <w:r>
        <w:rPr>
          <w:shd w:val="clear" w:color="auto" w:fill="FFFFFF"/>
        </w:rPr>
        <w:t>re</w:t>
      </w:r>
      <w:r w:rsidR="00A3695C">
        <w:rPr>
          <w:shd w:val="clear" w:color="auto" w:fill="FFFFFF"/>
        </w:rPr>
        <w:t xml:space="preserve"> of capital up</w:t>
      </w:r>
      <w:r>
        <w:rPr>
          <w:shd w:val="clear" w:color="auto" w:fill="FFFFFF"/>
        </w:rPr>
        <w:t xml:space="preserve"> or penalize </w:t>
      </w:r>
      <w:r w:rsidR="00DD2569">
        <w:rPr>
          <w:shd w:val="clear" w:color="auto" w:fill="FFFFFF"/>
        </w:rPr>
        <w:t xml:space="preserve">it if it </w:t>
      </w:r>
      <w:r>
        <w:rPr>
          <w:shd w:val="clear" w:color="auto" w:fill="FFFFFF"/>
        </w:rPr>
        <w:t xml:space="preserve">failed to respond.  For the markets to respond efficiently, the standards must be universal and transparent so that the long-term, sustainable activities of companies </w:t>
      </w:r>
      <w:r w:rsidR="00323C5D">
        <w:rPr>
          <w:shd w:val="clear" w:color="auto" w:fill="FFFFFF"/>
        </w:rPr>
        <w:t xml:space="preserve">can </w:t>
      </w:r>
      <w:r>
        <w:rPr>
          <w:shd w:val="clear" w:color="auto" w:fill="FFFFFF"/>
        </w:rPr>
        <w:t xml:space="preserve">be </w:t>
      </w:r>
      <w:r w:rsidR="00323C5D">
        <w:rPr>
          <w:shd w:val="clear" w:color="auto" w:fill="FFFFFF"/>
        </w:rPr>
        <w:t>accurately assess</w:t>
      </w:r>
      <w:r>
        <w:rPr>
          <w:shd w:val="clear" w:color="auto" w:fill="FFFFFF"/>
        </w:rPr>
        <w:t>ed</w:t>
      </w:r>
      <w:r w:rsidR="00323C5D">
        <w:rPr>
          <w:shd w:val="clear" w:color="auto" w:fill="FFFFFF"/>
        </w:rPr>
        <w:t xml:space="preserve">. </w:t>
      </w:r>
    </w:p>
    <w:p w14:paraId="15FD01FA" w14:textId="49AB595C" w:rsidR="0016447C" w:rsidRPr="000F32DB" w:rsidRDefault="000F32DB" w:rsidP="001A4C55">
      <w:pPr>
        <w:rPr>
          <w:szCs w:val="24"/>
          <w:shd w:val="clear" w:color="auto" w:fill="FFFFFF"/>
        </w:rPr>
      </w:pPr>
      <w:r>
        <w:rPr>
          <w:shd w:val="clear" w:color="auto" w:fill="FFFFFF"/>
        </w:rPr>
        <w:t xml:space="preserve">Some of the </w:t>
      </w:r>
      <w:r w:rsidR="004818D5">
        <w:rPr>
          <w:shd w:val="clear" w:color="auto" w:fill="FFFFFF"/>
        </w:rPr>
        <w:t xml:space="preserve">ESG </w:t>
      </w:r>
      <w:r>
        <w:rPr>
          <w:shd w:val="clear" w:color="auto" w:fill="FFFFFF"/>
        </w:rPr>
        <w:t xml:space="preserve">backlash has been political.  </w:t>
      </w:r>
      <w:r w:rsidR="004818D5">
        <w:rPr>
          <w:shd w:val="clear" w:color="auto" w:fill="FFFFFF"/>
        </w:rPr>
        <w:t>The</w:t>
      </w:r>
      <w:r w:rsidR="00CF7A9D">
        <w:rPr>
          <w:shd w:val="clear" w:color="auto" w:fill="FFFFFF"/>
        </w:rPr>
        <w:t xml:space="preserve"> push for ESG strikes </w:t>
      </w:r>
      <w:r w:rsidR="004818D5">
        <w:rPr>
          <w:shd w:val="clear" w:color="auto" w:fill="FFFFFF"/>
        </w:rPr>
        <w:t xml:space="preserve">some conservative politicians </w:t>
      </w:r>
      <w:r w:rsidR="00CF7A9D">
        <w:rPr>
          <w:shd w:val="clear" w:color="auto" w:fill="FFFFFF"/>
        </w:rPr>
        <w:t xml:space="preserve">as a “woke” demand that companies must establish their ESG credentials to find value in the markets.  </w:t>
      </w:r>
      <w:r w:rsidR="004818D5">
        <w:rPr>
          <w:shd w:val="clear" w:color="auto" w:fill="FFFFFF"/>
        </w:rPr>
        <w:t xml:space="preserve">The political backlash </w:t>
      </w:r>
      <w:r w:rsidR="00E01962">
        <w:rPr>
          <w:shd w:val="clear" w:color="auto" w:fill="FFFFFF"/>
        </w:rPr>
        <w:t xml:space="preserve">is particularly acute at </w:t>
      </w:r>
      <w:r w:rsidR="004818D5">
        <w:rPr>
          <w:shd w:val="clear" w:color="auto" w:fill="FFFFFF"/>
        </w:rPr>
        <w:t xml:space="preserve">the state level.  It was led by Texas Governor Greg Abbott, who </w:t>
      </w:r>
      <w:r w:rsidR="004818D5" w:rsidRPr="000F32DB">
        <w:rPr>
          <w:color w:val="2A2A2A"/>
          <w:szCs w:val="24"/>
        </w:rPr>
        <w:t>signed</w:t>
      </w:r>
      <w:r w:rsidR="004818D5">
        <w:rPr>
          <w:color w:val="2A2A2A"/>
          <w:szCs w:val="24"/>
        </w:rPr>
        <w:t xml:space="preserve"> </w:t>
      </w:r>
      <w:r w:rsidR="004818D5" w:rsidRPr="004818D5">
        <w:rPr>
          <w:szCs w:val="24"/>
        </w:rPr>
        <w:t>legislation</w:t>
      </w:r>
      <w:r w:rsidR="004818D5">
        <w:rPr>
          <w:szCs w:val="24"/>
        </w:rPr>
        <w:t xml:space="preserve"> in 2021 </w:t>
      </w:r>
      <w:r w:rsidR="004818D5" w:rsidRPr="000F32DB">
        <w:rPr>
          <w:color w:val="2A2A2A"/>
          <w:szCs w:val="24"/>
        </w:rPr>
        <w:t>requiring the state</w:t>
      </w:r>
      <w:r w:rsidR="004818D5">
        <w:rPr>
          <w:color w:val="2A2A2A"/>
          <w:szCs w:val="24"/>
        </w:rPr>
        <w:t>’</w:t>
      </w:r>
      <w:r w:rsidR="004818D5" w:rsidRPr="000F32DB">
        <w:rPr>
          <w:color w:val="2A2A2A"/>
          <w:szCs w:val="24"/>
        </w:rPr>
        <w:t>s retirement and investment funds to divest from businesses that boycott fossil fuel companie</w:t>
      </w:r>
      <w:r w:rsidR="004818D5">
        <w:rPr>
          <w:color w:val="2A2A2A"/>
          <w:szCs w:val="24"/>
        </w:rPr>
        <w:t>s</w:t>
      </w:r>
      <w:r w:rsidR="0016447C">
        <w:rPr>
          <w:shd w:val="clear" w:color="auto" w:fill="FFFFFF"/>
        </w:rPr>
        <w:t>.</w:t>
      </w:r>
      <w:r w:rsidR="0016447C">
        <w:rPr>
          <w:rStyle w:val="FootnoteReference"/>
        </w:rPr>
        <w:footnoteReference w:id="15"/>
      </w:r>
      <w:r w:rsidR="0016447C">
        <w:rPr>
          <w:shd w:val="clear" w:color="auto" w:fill="FFFFFF"/>
        </w:rPr>
        <w:t xml:space="preserve"> </w:t>
      </w:r>
      <w:r w:rsidR="004818D5">
        <w:rPr>
          <w:shd w:val="clear" w:color="auto" w:fill="FFFFFF"/>
        </w:rPr>
        <w:t xml:space="preserve"> Other states followed </w:t>
      </w:r>
      <w:r w:rsidR="00CF7C89">
        <w:rPr>
          <w:shd w:val="clear" w:color="auto" w:fill="FFFFFF"/>
        </w:rPr>
        <w:t>with more than 20 states adopting some type of policy penalizing investment funds and other businesses that disassociate with companies for ESG reasons.</w:t>
      </w:r>
      <w:r w:rsidR="00CF7C89">
        <w:rPr>
          <w:rStyle w:val="FootnoteReference"/>
          <w:szCs w:val="27"/>
          <w:shd w:val="clear" w:color="auto" w:fill="FFFFFF"/>
        </w:rPr>
        <w:footnoteReference w:id="16"/>
      </w:r>
    </w:p>
    <w:p w14:paraId="58A60032" w14:textId="5AFEBEE2" w:rsidR="005B074B" w:rsidRDefault="00CF7C89" w:rsidP="001A4C55">
      <w:pPr>
        <w:rPr>
          <w:color w:val="444444"/>
          <w:szCs w:val="24"/>
          <w:shd w:val="clear" w:color="auto" w:fill="FEFEFE"/>
        </w:rPr>
      </w:pPr>
      <w:r>
        <w:rPr>
          <w:szCs w:val="24"/>
          <w:shd w:val="clear" w:color="auto" w:fill="FFFFFF"/>
        </w:rPr>
        <w:t xml:space="preserve">One of the states was </w:t>
      </w:r>
      <w:r w:rsidR="00003758" w:rsidRPr="000F32DB">
        <w:rPr>
          <w:szCs w:val="24"/>
          <w:shd w:val="clear" w:color="auto" w:fill="FFFFFF"/>
        </w:rPr>
        <w:t>Oklahoma</w:t>
      </w:r>
      <w:r>
        <w:rPr>
          <w:szCs w:val="24"/>
          <w:shd w:val="clear" w:color="auto" w:fill="FFFFFF"/>
        </w:rPr>
        <w:t xml:space="preserve">, which </w:t>
      </w:r>
      <w:r w:rsidR="00003758" w:rsidRPr="000F32DB">
        <w:rPr>
          <w:szCs w:val="24"/>
          <w:shd w:val="clear" w:color="auto" w:fill="FFFFFF"/>
        </w:rPr>
        <w:t>adopted the Energy Discrimination Elimination Act of 2022</w:t>
      </w:r>
      <w:r w:rsidR="00963ADF">
        <w:rPr>
          <w:szCs w:val="24"/>
          <w:shd w:val="clear" w:color="auto" w:fill="FFFFFF"/>
        </w:rPr>
        <w:t>,</w:t>
      </w:r>
      <w:r>
        <w:rPr>
          <w:rStyle w:val="FootnoteReference"/>
          <w:szCs w:val="24"/>
          <w:shd w:val="clear" w:color="auto" w:fill="FFFFFF"/>
        </w:rPr>
        <w:footnoteReference w:id="17"/>
      </w:r>
      <w:r>
        <w:rPr>
          <w:szCs w:val="24"/>
          <w:shd w:val="clear" w:color="auto" w:fill="FFFFFF"/>
        </w:rPr>
        <w:t xml:space="preserve"> </w:t>
      </w:r>
      <w:r w:rsidR="00003758" w:rsidRPr="000F32DB">
        <w:rPr>
          <w:szCs w:val="24"/>
          <w:shd w:val="clear" w:color="auto" w:fill="FFFFFF"/>
        </w:rPr>
        <w:t xml:space="preserve">which became effective November 1, 2022.  The act </w:t>
      </w:r>
      <w:r w:rsidR="005B074B">
        <w:rPr>
          <w:szCs w:val="24"/>
          <w:shd w:val="clear" w:color="auto" w:fill="FFFFFF"/>
        </w:rPr>
        <w:t xml:space="preserve">requires the State Treasurer </w:t>
      </w:r>
      <w:r w:rsidR="005B074B" w:rsidRPr="000F32DB">
        <w:rPr>
          <w:color w:val="444444"/>
          <w:szCs w:val="24"/>
          <w:shd w:val="clear" w:color="auto" w:fill="FEFEFE"/>
        </w:rPr>
        <w:t>to maintain and provide to each state governmental entity a list of financial companies that boycott energy companies.</w:t>
      </w:r>
      <w:r w:rsidR="005B074B">
        <w:rPr>
          <w:rStyle w:val="FootnoteReference"/>
          <w:szCs w:val="24"/>
          <w:shd w:val="clear" w:color="auto" w:fill="FEFEFE"/>
        </w:rPr>
        <w:footnoteReference w:id="18"/>
      </w:r>
      <w:r w:rsidR="005B074B" w:rsidRPr="000F32DB">
        <w:rPr>
          <w:color w:val="444444"/>
          <w:szCs w:val="24"/>
          <w:shd w:val="clear" w:color="auto" w:fill="FEFEFE"/>
        </w:rPr>
        <w:t xml:space="preserve"> </w:t>
      </w:r>
      <w:r w:rsidR="005B074B">
        <w:rPr>
          <w:color w:val="444444"/>
          <w:szCs w:val="24"/>
          <w:shd w:val="clear" w:color="auto" w:fill="FEFEFE"/>
        </w:rPr>
        <w:t xml:space="preserve"> </w:t>
      </w:r>
      <w:r w:rsidR="006A2621">
        <w:rPr>
          <w:color w:val="444444"/>
          <w:szCs w:val="24"/>
          <w:shd w:val="clear" w:color="auto" w:fill="FEFEFE"/>
        </w:rPr>
        <w:t xml:space="preserve">State agencies are </w:t>
      </w:r>
      <w:r w:rsidR="006A2621" w:rsidRPr="000F32DB">
        <w:rPr>
          <w:color w:val="444444"/>
          <w:szCs w:val="24"/>
          <w:shd w:val="clear" w:color="auto" w:fill="FEFEFE"/>
        </w:rPr>
        <w:t>require</w:t>
      </w:r>
      <w:r w:rsidR="006A2621">
        <w:rPr>
          <w:color w:val="444444"/>
          <w:szCs w:val="24"/>
          <w:shd w:val="clear" w:color="auto" w:fill="FEFEFE"/>
        </w:rPr>
        <w:t>d</w:t>
      </w:r>
      <w:r w:rsidR="006A2621" w:rsidRPr="000F32DB">
        <w:rPr>
          <w:color w:val="444444"/>
          <w:szCs w:val="24"/>
          <w:shd w:val="clear" w:color="auto" w:fill="FEFEFE"/>
        </w:rPr>
        <w:t xml:space="preserve"> to divest from any </w:t>
      </w:r>
      <w:r w:rsidR="006A2621">
        <w:rPr>
          <w:color w:val="444444"/>
          <w:szCs w:val="24"/>
          <w:shd w:val="clear" w:color="auto" w:fill="FEFEFE"/>
        </w:rPr>
        <w:t xml:space="preserve">listed </w:t>
      </w:r>
      <w:r w:rsidR="006A2621" w:rsidRPr="000F32DB">
        <w:rPr>
          <w:color w:val="444444"/>
          <w:szCs w:val="24"/>
          <w:shd w:val="clear" w:color="auto" w:fill="FEFEFE"/>
        </w:rPr>
        <w:t>financial company</w:t>
      </w:r>
      <w:r w:rsidR="006A2621">
        <w:rPr>
          <w:color w:val="444444"/>
          <w:szCs w:val="24"/>
          <w:shd w:val="clear" w:color="auto" w:fill="FEFEFE"/>
        </w:rPr>
        <w:t xml:space="preserve"> within prescribed periods, subject to certain </w:t>
      </w:r>
      <w:r w:rsidR="006A2621">
        <w:rPr>
          <w:color w:val="444444"/>
          <w:szCs w:val="24"/>
          <w:shd w:val="clear" w:color="auto" w:fill="FEFEFE"/>
        </w:rPr>
        <w:lastRenderedPageBreak/>
        <w:t>exceptions.</w:t>
      </w:r>
      <w:r w:rsidR="006A2621">
        <w:rPr>
          <w:rStyle w:val="FootnoteReference"/>
          <w:szCs w:val="24"/>
          <w:shd w:val="clear" w:color="auto" w:fill="FEFEFE"/>
        </w:rPr>
        <w:footnoteReference w:id="19"/>
      </w:r>
      <w:r w:rsidR="006A2621">
        <w:rPr>
          <w:color w:val="444444"/>
          <w:szCs w:val="24"/>
          <w:shd w:val="clear" w:color="auto" w:fill="FEFEFE"/>
        </w:rPr>
        <w:t xml:space="preserve">  </w:t>
      </w:r>
      <w:r w:rsidR="00B76610">
        <w:rPr>
          <w:color w:val="444444"/>
          <w:szCs w:val="24"/>
          <w:shd w:val="clear" w:color="auto" w:fill="FEFEFE"/>
        </w:rPr>
        <w:t xml:space="preserve">State agencies are also prohibited from contracting with listed financial companies.  </w:t>
      </w:r>
      <w:r w:rsidR="006A2621">
        <w:rPr>
          <w:color w:val="444444"/>
          <w:szCs w:val="24"/>
          <w:shd w:val="clear" w:color="auto" w:fill="FEFEFE"/>
        </w:rPr>
        <w:t xml:space="preserve">The act </w:t>
      </w:r>
      <w:r w:rsidR="00B76610">
        <w:rPr>
          <w:color w:val="444444"/>
          <w:szCs w:val="24"/>
          <w:shd w:val="clear" w:color="auto" w:fill="FEFEFE"/>
        </w:rPr>
        <w:t>indemnifies any government employee or contractor for actions taken under the act.</w:t>
      </w:r>
      <w:r w:rsidR="00B76610">
        <w:rPr>
          <w:rStyle w:val="FootnoteReference"/>
          <w:szCs w:val="24"/>
          <w:shd w:val="clear" w:color="auto" w:fill="FEFEFE"/>
        </w:rPr>
        <w:footnoteReference w:id="20"/>
      </w:r>
      <w:r w:rsidR="00B76610">
        <w:rPr>
          <w:color w:val="444444"/>
          <w:szCs w:val="24"/>
          <w:shd w:val="clear" w:color="auto" w:fill="FEFEFE"/>
        </w:rPr>
        <w:t xml:space="preserve">  The act prohibits any retirement system beneficiary from suing for actions taken under the act and imposes attorney fees for a violation</w:t>
      </w:r>
      <w:r w:rsidR="0039772F">
        <w:rPr>
          <w:color w:val="444444"/>
          <w:szCs w:val="24"/>
          <w:shd w:val="clear" w:color="auto" w:fill="FEFEFE"/>
        </w:rPr>
        <w:t xml:space="preserve"> of the prohibition</w:t>
      </w:r>
      <w:r w:rsidR="00B76610">
        <w:rPr>
          <w:color w:val="444444"/>
          <w:szCs w:val="24"/>
          <w:shd w:val="clear" w:color="auto" w:fill="FEFEFE"/>
        </w:rPr>
        <w:t>.</w:t>
      </w:r>
      <w:r w:rsidR="00B76610">
        <w:rPr>
          <w:rStyle w:val="FootnoteReference"/>
          <w:szCs w:val="24"/>
          <w:shd w:val="clear" w:color="auto" w:fill="FEFEFE"/>
        </w:rPr>
        <w:footnoteReference w:id="21"/>
      </w:r>
      <w:r w:rsidR="00B76610">
        <w:rPr>
          <w:color w:val="444444"/>
          <w:szCs w:val="24"/>
          <w:shd w:val="clear" w:color="auto" w:fill="FEFEFE"/>
        </w:rPr>
        <w:t xml:space="preserve">  </w:t>
      </w:r>
    </w:p>
    <w:p w14:paraId="54C3314F" w14:textId="62BE29CE" w:rsidR="009E0CC8" w:rsidRPr="00E82FE8" w:rsidRDefault="00323C5D" w:rsidP="001A4C55">
      <w:pPr>
        <w:rPr>
          <w:szCs w:val="24"/>
          <w:shd w:val="clear" w:color="auto" w:fill="FFFFFF"/>
        </w:rPr>
      </w:pPr>
      <w:r>
        <w:rPr>
          <w:shd w:val="clear" w:color="auto" w:fill="FFFFFF"/>
        </w:rPr>
        <w:t xml:space="preserve">Some </w:t>
      </w:r>
      <w:r w:rsidR="004575A1">
        <w:rPr>
          <w:shd w:val="clear" w:color="auto" w:fill="FFFFFF"/>
        </w:rPr>
        <w:t>political</w:t>
      </w:r>
      <w:r>
        <w:rPr>
          <w:shd w:val="clear" w:color="auto" w:fill="FFFFFF"/>
        </w:rPr>
        <w:t xml:space="preserve"> </w:t>
      </w:r>
      <w:r w:rsidR="004575A1">
        <w:rPr>
          <w:shd w:val="clear" w:color="auto" w:fill="FFFFFF"/>
        </w:rPr>
        <w:t>backlash</w:t>
      </w:r>
      <w:r>
        <w:rPr>
          <w:shd w:val="clear" w:color="auto" w:fill="FFFFFF"/>
        </w:rPr>
        <w:t xml:space="preserve"> is unavoidable </w:t>
      </w:r>
      <w:r w:rsidR="00333640">
        <w:rPr>
          <w:shd w:val="clear" w:color="auto" w:fill="FFFFFF"/>
        </w:rPr>
        <w:t xml:space="preserve">when </w:t>
      </w:r>
      <w:r>
        <w:rPr>
          <w:shd w:val="clear" w:color="auto" w:fill="FFFFFF"/>
        </w:rPr>
        <w:t xml:space="preserve">ESG values appear to conflict with the interests of local companies.  But the primacy of ESG is long-term </w:t>
      </w:r>
      <w:r w:rsidR="004575A1">
        <w:rPr>
          <w:shd w:val="clear" w:color="auto" w:fill="FFFFFF"/>
        </w:rPr>
        <w:t>sustainability</w:t>
      </w:r>
      <w:r>
        <w:rPr>
          <w:shd w:val="clear" w:color="auto" w:fill="FFFFFF"/>
        </w:rPr>
        <w:t xml:space="preserve"> </w:t>
      </w:r>
      <w:r w:rsidR="00194858">
        <w:rPr>
          <w:shd w:val="clear" w:color="auto" w:fill="FFFFFF"/>
        </w:rPr>
        <w:t xml:space="preserve">correlated with investment performance.  </w:t>
      </w:r>
      <w:r w:rsidR="00EC3A6D">
        <w:rPr>
          <w:shd w:val="clear" w:color="auto" w:fill="FFFFFF"/>
        </w:rPr>
        <w:t xml:space="preserve">Better investment performance is a </w:t>
      </w:r>
      <w:r>
        <w:rPr>
          <w:shd w:val="clear" w:color="auto" w:fill="FFFFFF"/>
        </w:rPr>
        <w:t xml:space="preserve">goal </w:t>
      </w:r>
      <w:r w:rsidR="00EC3A6D">
        <w:rPr>
          <w:shd w:val="clear" w:color="auto" w:fill="FFFFFF"/>
        </w:rPr>
        <w:t xml:space="preserve">that </w:t>
      </w:r>
      <w:r>
        <w:rPr>
          <w:shd w:val="clear" w:color="auto" w:fill="FFFFFF"/>
        </w:rPr>
        <w:t xml:space="preserve">is in everyone’s best interest.  </w:t>
      </w:r>
      <w:r w:rsidR="00EC3A6D">
        <w:rPr>
          <w:shd w:val="clear" w:color="auto" w:fill="FFFFFF"/>
        </w:rPr>
        <w:t xml:space="preserve"> If the ESG aligns with the interests of the voters, the </w:t>
      </w:r>
      <w:r>
        <w:rPr>
          <w:shd w:val="clear" w:color="auto" w:fill="FFFFFF"/>
        </w:rPr>
        <w:t>political backlash should subside</w:t>
      </w:r>
      <w:r w:rsidR="00EC3A6D">
        <w:rPr>
          <w:shd w:val="clear" w:color="auto" w:fill="FFFFFF"/>
        </w:rPr>
        <w:t>.</w:t>
      </w:r>
      <w:r>
        <w:rPr>
          <w:shd w:val="clear" w:color="auto" w:fill="FFFFFF"/>
        </w:rPr>
        <w:t xml:space="preserve"> </w:t>
      </w:r>
    </w:p>
    <w:p w14:paraId="77A99CF6" w14:textId="3ED2938E" w:rsidR="005E6335" w:rsidRPr="00E82FE8" w:rsidRDefault="005E6335" w:rsidP="00665B61">
      <w:pPr>
        <w:pStyle w:val="Heading3"/>
        <w:rPr>
          <w:rFonts w:eastAsia="Times New Roman"/>
        </w:rPr>
      </w:pPr>
      <w:r w:rsidRPr="00E82FE8">
        <w:rPr>
          <w:rFonts w:eastAsia="Times New Roman"/>
        </w:rPr>
        <w:t>The Corporate Transparency Act</w:t>
      </w:r>
    </w:p>
    <w:p w14:paraId="063D88F1" w14:textId="103279DA" w:rsidR="007D2EBF" w:rsidRDefault="009E3419" w:rsidP="009E3419">
      <w:pPr>
        <w:overflowPunct w:val="0"/>
        <w:textAlignment w:val="baseline"/>
        <w:rPr>
          <w:szCs w:val="24"/>
        </w:rPr>
      </w:pPr>
      <w:r w:rsidRPr="00E82FE8">
        <w:rPr>
          <w:shd w:val="clear" w:color="auto" w:fill="FFFFFF"/>
        </w:rPr>
        <w:t xml:space="preserve">The </w:t>
      </w:r>
      <w:r w:rsidRPr="00E82FE8">
        <w:rPr>
          <w:szCs w:val="24"/>
        </w:rPr>
        <w:t>Corporate Transparency Act</w:t>
      </w:r>
      <w:r w:rsidR="002B0E3E" w:rsidRPr="00E82FE8">
        <w:rPr>
          <w:szCs w:val="24"/>
        </w:rPr>
        <w:t xml:space="preserve"> (the “</w:t>
      </w:r>
      <w:r w:rsidR="002B0E3E" w:rsidRPr="00E82FE8">
        <w:rPr>
          <w:i/>
          <w:iCs/>
          <w:szCs w:val="24"/>
        </w:rPr>
        <w:t>CTA</w:t>
      </w:r>
      <w:r w:rsidR="002B0E3E" w:rsidRPr="00E82FE8">
        <w:rPr>
          <w:szCs w:val="24"/>
        </w:rPr>
        <w:t>”)</w:t>
      </w:r>
      <w:r w:rsidRPr="00E82FE8">
        <w:rPr>
          <w:rStyle w:val="FootnoteReference"/>
          <w:szCs w:val="24"/>
        </w:rPr>
        <w:footnoteReference w:id="22"/>
      </w:r>
      <w:r w:rsidRPr="00E82FE8">
        <w:rPr>
          <w:szCs w:val="24"/>
        </w:rPr>
        <w:t xml:space="preserve"> </w:t>
      </w:r>
      <w:r w:rsidR="000062A1">
        <w:rPr>
          <w:szCs w:val="24"/>
        </w:rPr>
        <w:t xml:space="preserve">is perhaps the most significant development for transactional lawyers since promulgation of the LLC </w:t>
      </w:r>
      <w:r w:rsidR="007D2EBF">
        <w:rPr>
          <w:szCs w:val="24"/>
        </w:rPr>
        <w:t xml:space="preserve">acts.  It </w:t>
      </w:r>
      <w:r w:rsidR="009E1D42">
        <w:rPr>
          <w:szCs w:val="24"/>
        </w:rPr>
        <w:t>requires the reporting of beneficial ownership for most legal entities formed or operating in the U.S.</w:t>
      </w:r>
      <w:r w:rsidR="009E1D42" w:rsidRPr="00E82FE8">
        <w:rPr>
          <w:rStyle w:val="FootnoteReference"/>
          <w:szCs w:val="24"/>
          <w:shd w:val="clear" w:color="auto" w:fill="FFFFFF"/>
        </w:rPr>
        <w:footnoteReference w:id="23"/>
      </w:r>
      <w:r w:rsidR="009E1D42">
        <w:rPr>
          <w:szCs w:val="24"/>
        </w:rPr>
        <w:t xml:space="preserve">  It covers existing entities and future entities.  The CTA </w:t>
      </w:r>
      <w:r w:rsidR="000062A1">
        <w:rPr>
          <w:szCs w:val="24"/>
        </w:rPr>
        <w:t xml:space="preserve">will profoundly affect </w:t>
      </w:r>
      <w:r w:rsidR="007D2EBF">
        <w:rPr>
          <w:szCs w:val="24"/>
        </w:rPr>
        <w:t>the way lawyers interact with their clients when forming legal entities.</w:t>
      </w:r>
      <w:r w:rsidR="000527D1">
        <w:rPr>
          <w:rStyle w:val="FootnoteReference"/>
          <w:szCs w:val="24"/>
        </w:rPr>
        <w:footnoteReference w:id="24"/>
      </w:r>
      <w:r w:rsidR="007D2EBF">
        <w:rPr>
          <w:szCs w:val="24"/>
        </w:rPr>
        <w:t xml:space="preserve">  A careful review of </w:t>
      </w:r>
      <w:r w:rsidR="009E1D42">
        <w:rPr>
          <w:szCs w:val="24"/>
        </w:rPr>
        <w:t>its</w:t>
      </w:r>
      <w:r w:rsidR="007D2EBF">
        <w:rPr>
          <w:szCs w:val="24"/>
        </w:rPr>
        <w:t xml:space="preserve"> </w:t>
      </w:r>
      <w:r w:rsidR="009E1D42">
        <w:rPr>
          <w:szCs w:val="24"/>
        </w:rPr>
        <w:t xml:space="preserve">requirements </w:t>
      </w:r>
      <w:r w:rsidR="007D2EBF">
        <w:rPr>
          <w:szCs w:val="24"/>
        </w:rPr>
        <w:t xml:space="preserve">and their implications is warranted. </w:t>
      </w:r>
    </w:p>
    <w:p w14:paraId="283D4173" w14:textId="66FA2B05" w:rsidR="00474170" w:rsidRDefault="00474170" w:rsidP="00474170">
      <w:pPr>
        <w:pStyle w:val="Heading4"/>
      </w:pPr>
      <w:r>
        <w:lastRenderedPageBreak/>
        <w:t>Reporting Companies</w:t>
      </w:r>
    </w:p>
    <w:p w14:paraId="6D4A577E" w14:textId="1DB0F1E9" w:rsidR="00090872" w:rsidRDefault="007D2EBF" w:rsidP="009E3419">
      <w:pPr>
        <w:overflowPunct w:val="0"/>
        <w:textAlignment w:val="baseline"/>
        <w:rPr>
          <w:szCs w:val="24"/>
        </w:rPr>
      </w:pPr>
      <w:r w:rsidRPr="00E82FE8">
        <w:rPr>
          <w:szCs w:val="24"/>
        </w:rPr>
        <w:t xml:space="preserve">The CTA will require </w:t>
      </w:r>
      <w:r w:rsidRPr="00E82FE8">
        <w:rPr>
          <w:szCs w:val="24"/>
          <w:shd w:val="clear" w:color="auto" w:fill="FFFFFF"/>
        </w:rPr>
        <w:t>“reporting companies” to report their beneficial ownership to the Department of Treasury’s Financial Crimes Enforcement Network (“</w:t>
      </w:r>
      <w:r w:rsidRPr="00E82FE8">
        <w:rPr>
          <w:i/>
          <w:iCs/>
          <w:szCs w:val="24"/>
          <w:shd w:val="clear" w:color="auto" w:fill="FFFFFF"/>
        </w:rPr>
        <w:t>FinCEN</w:t>
      </w:r>
      <w:r w:rsidRPr="00E82FE8">
        <w:rPr>
          <w:szCs w:val="24"/>
          <w:shd w:val="clear" w:color="auto" w:fill="FFFFFF"/>
        </w:rPr>
        <w:t xml:space="preserve">”).  </w:t>
      </w:r>
      <w:r>
        <w:rPr>
          <w:szCs w:val="24"/>
        </w:rPr>
        <w:t xml:space="preserve">The CTA </w:t>
      </w:r>
      <w:r w:rsidR="00E321B5" w:rsidRPr="00E82FE8">
        <w:rPr>
          <w:szCs w:val="24"/>
        </w:rPr>
        <w:t xml:space="preserve">is the result of more than a decade of effort to require the reporting of </w:t>
      </w:r>
      <w:r w:rsidR="00C95AD4" w:rsidRPr="00E82FE8">
        <w:rPr>
          <w:szCs w:val="24"/>
        </w:rPr>
        <w:t xml:space="preserve">U.S. </w:t>
      </w:r>
      <w:r w:rsidR="00E321B5" w:rsidRPr="00E82FE8">
        <w:rPr>
          <w:szCs w:val="24"/>
        </w:rPr>
        <w:t xml:space="preserve">beneficial ownership for business entities.  The reporting is </w:t>
      </w:r>
      <w:r w:rsidR="00C95AD4" w:rsidRPr="00E82FE8">
        <w:rPr>
          <w:szCs w:val="24"/>
        </w:rPr>
        <w:t xml:space="preserve">intended to </w:t>
      </w:r>
      <w:r w:rsidR="00E321B5" w:rsidRPr="00E82FE8">
        <w:rPr>
          <w:szCs w:val="24"/>
        </w:rPr>
        <w:t>“crack down on anonymous shell companies, which have long been the vehicle of choice for money launderers, terrorists, and criminals.”</w:t>
      </w:r>
      <w:r w:rsidR="00E321B5" w:rsidRPr="00E82FE8">
        <w:rPr>
          <w:rStyle w:val="FootnoteReference"/>
          <w:szCs w:val="24"/>
        </w:rPr>
        <w:footnoteReference w:id="25"/>
      </w:r>
    </w:p>
    <w:p w14:paraId="238D422C" w14:textId="3C8FC3FE" w:rsidR="009E1D42" w:rsidRDefault="009E1D42" w:rsidP="000B5464">
      <w:pPr>
        <w:rPr>
          <w:szCs w:val="24"/>
        </w:rPr>
      </w:pPr>
      <w:r>
        <w:rPr>
          <w:szCs w:val="24"/>
        </w:rPr>
        <w:t>Subject to a few exemptions, legal entities formed with a Secretary of State filing must report.</w:t>
      </w:r>
      <w:r w:rsidRPr="00410BF5">
        <w:rPr>
          <w:rStyle w:val="FootnoteReference"/>
          <w:szCs w:val="24"/>
        </w:rPr>
        <w:footnoteReference w:id="26"/>
      </w:r>
      <w:r>
        <w:rPr>
          <w:szCs w:val="24"/>
        </w:rPr>
        <w:t xml:space="preserve">  In addition, legal entities operating in the U.S., regardless of when or where they were formed, must also report.</w:t>
      </w:r>
      <w:r w:rsidRPr="00410BF5">
        <w:rPr>
          <w:rStyle w:val="FootnoteReference"/>
          <w:szCs w:val="24"/>
        </w:rPr>
        <w:footnoteReference w:id="27"/>
      </w:r>
      <w:r>
        <w:rPr>
          <w:szCs w:val="24"/>
        </w:rPr>
        <w:t xml:space="preserve">  This will include all domestic corporations, LLCs, and limited partnerships and foreign entities doing business in the U.S.  FinCEN estimates that there are approximately 32.6 million entities currently operating within the U.S. that will be subject to reporting and over three million new entities formed annually that will be subject to reporting.</w:t>
      </w:r>
      <w:r>
        <w:rPr>
          <w:rStyle w:val="FootnoteReference"/>
          <w:szCs w:val="24"/>
        </w:rPr>
        <w:footnoteReference w:id="28"/>
      </w:r>
      <w:r>
        <w:rPr>
          <w:szCs w:val="24"/>
        </w:rPr>
        <w:t xml:space="preserve"> </w:t>
      </w:r>
    </w:p>
    <w:p w14:paraId="02AD5008" w14:textId="07A3EA6E" w:rsidR="000862B6" w:rsidRDefault="000862B6" w:rsidP="000862B6">
      <w:pPr>
        <w:pStyle w:val="Heading4"/>
        <w:rPr>
          <w:shd w:val="clear" w:color="auto" w:fill="FFFFFF"/>
        </w:rPr>
      </w:pPr>
      <w:r>
        <w:rPr>
          <w:shd w:val="clear" w:color="auto" w:fill="FFFFFF"/>
        </w:rPr>
        <w:t xml:space="preserve">Beneficial Ownership </w:t>
      </w:r>
    </w:p>
    <w:p w14:paraId="7A096C8A" w14:textId="37DB8C4A" w:rsidR="003C43FA" w:rsidRDefault="00BB3888" w:rsidP="000B5464">
      <w:pPr>
        <w:pStyle w:val="PlainText"/>
        <w:autoSpaceDE w:val="0"/>
        <w:autoSpaceDN w:val="0"/>
        <w:adjustRightInd w:val="0"/>
        <w:spacing w:before="120"/>
        <w:rPr>
          <w:rFonts w:cs="Times New Roman"/>
          <w:szCs w:val="24"/>
          <w:shd w:val="clear" w:color="auto" w:fill="FFFFFF"/>
        </w:rPr>
      </w:pPr>
      <w:r w:rsidRPr="00E82FE8">
        <w:rPr>
          <w:rFonts w:cs="Times New Roman"/>
          <w:szCs w:val="24"/>
          <w:shd w:val="clear" w:color="auto" w:fill="FFFFFF"/>
        </w:rPr>
        <w:t xml:space="preserve">The reports </w:t>
      </w:r>
      <w:r w:rsidR="00B37601" w:rsidRPr="00E82FE8">
        <w:rPr>
          <w:rFonts w:cs="Times New Roman"/>
          <w:szCs w:val="24"/>
          <w:shd w:val="clear" w:color="auto" w:fill="FFFFFF"/>
        </w:rPr>
        <w:t xml:space="preserve">cover beneficial owners with “substantial control” over the entity </w:t>
      </w:r>
      <w:r w:rsidR="00B37601" w:rsidRPr="00E82FE8">
        <w:rPr>
          <w:rStyle w:val="Emphasis"/>
          <w:rFonts w:cs="Times New Roman"/>
          <w:i w:val="0"/>
          <w:iCs w:val="0"/>
          <w:szCs w:val="24"/>
          <w:shd w:val="clear" w:color="auto" w:fill="FFFFFF"/>
        </w:rPr>
        <w:t>or</w:t>
      </w:r>
      <w:r w:rsidR="00B37601" w:rsidRPr="00E82FE8">
        <w:rPr>
          <w:rFonts w:cs="Times New Roman"/>
          <w:szCs w:val="24"/>
          <w:shd w:val="clear" w:color="auto" w:fill="FFFFFF"/>
        </w:rPr>
        <w:t xml:space="preserve"> ownership or control of 25% or more of the ownership interest</w:t>
      </w:r>
      <w:r w:rsidR="00474170">
        <w:rPr>
          <w:rFonts w:cs="Times New Roman"/>
          <w:szCs w:val="24"/>
          <w:shd w:val="clear" w:color="auto" w:fill="FFFFFF"/>
        </w:rPr>
        <w:t>.</w:t>
      </w:r>
      <w:r w:rsidR="001D1259" w:rsidRPr="00E82FE8">
        <w:rPr>
          <w:rStyle w:val="FootnoteReference"/>
          <w:rFonts w:cs="Times New Roman"/>
          <w:szCs w:val="24"/>
          <w:shd w:val="clear" w:color="auto" w:fill="FFFFFF"/>
        </w:rPr>
        <w:footnoteReference w:id="29"/>
      </w:r>
      <w:r w:rsidR="00B37601" w:rsidRPr="00E82FE8">
        <w:rPr>
          <w:rFonts w:cs="Times New Roman"/>
          <w:szCs w:val="24"/>
          <w:shd w:val="clear" w:color="auto" w:fill="FFFFFF"/>
        </w:rPr>
        <w:t xml:space="preserve"> </w:t>
      </w:r>
      <w:r w:rsidR="003C43FA">
        <w:rPr>
          <w:rFonts w:cs="Times New Roman"/>
          <w:szCs w:val="24"/>
          <w:shd w:val="clear" w:color="auto" w:fill="FFFFFF"/>
        </w:rPr>
        <w:t xml:space="preserve"> Substantial control is </w:t>
      </w:r>
      <w:r w:rsidR="003C43FA">
        <w:rPr>
          <w:rFonts w:cs="Times New Roman"/>
          <w:szCs w:val="24"/>
          <w:shd w:val="clear" w:color="auto" w:fill="FFFFFF"/>
        </w:rPr>
        <w:lastRenderedPageBreak/>
        <w:t>deemed to exist if the person directs, determines or has substantial control over the important decisions, such as a dissolution or merger, major expenditures, borrowings or investments, management compensation</w:t>
      </w:r>
      <w:r w:rsidR="00C402B9">
        <w:rPr>
          <w:rFonts w:cs="Times New Roman"/>
          <w:szCs w:val="24"/>
          <w:shd w:val="clear" w:color="auto" w:fill="FFFFFF"/>
        </w:rPr>
        <w:t>,</w:t>
      </w:r>
      <w:r w:rsidR="003C43FA">
        <w:rPr>
          <w:rFonts w:cs="Times New Roman"/>
          <w:szCs w:val="24"/>
          <w:shd w:val="clear" w:color="auto" w:fill="FFFFFF"/>
        </w:rPr>
        <w:t xml:space="preserve"> the </w:t>
      </w:r>
      <w:r w:rsidR="00C402B9">
        <w:rPr>
          <w:rFonts w:cs="Times New Roman"/>
          <w:szCs w:val="24"/>
          <w:shd w:val="clear" w:color="auto" w:fill="FFFFFF"/>
        </w:rPr>
        <w:t>termination</w:t>
      </w:r>
      <w:r w:rsidR="003C43FA">
        <w:rPr>
          <w:rFonts w:cs="Times New Roman"/>
          <w:szCs w:val="24"/>
          <w:shd w:val="clear" w:color="auto" w:fill="FFFFFF"/>
        </w:rPr>
        <w:t xml:space="preserve"> or fulfillment of </w:t>
      </w:r>
      <w:r w:rsidR="00C402B9">
        <w:rPr>
          <w:rFonts w:cs="Times New Roman"/>
          <w:szCs w:val="24"/>
          <w:shd w:val="clear" w:color="auto" w:fill="FFFFFF"/>
        </w:rPr>
        <w:t>significant contracts or the amendment of constituent documents.</w:t>
      </w:r>
      <w:r w:rsidR="00C402B9">
        <w:rPr>
          <w:rStyle w:val="FootnoteReference"/>
          <w:rFonts w:cs="Times New Roman"/>
          <w:szCs w:val="24"/>
          <w:shd w:val="clear" w:color="auto" w:fill="FFFFFF"/>
        </w:rPr>
        <w:footnoteReference w:id="30"/>
      </w:r>
      <w:r w:rsidR="00C402B9">
        <w:rPr>
          <w:rFonts w:cs="Times New Roman"/>
          <w:szCs w:val="24"/>
          <w:shd w:val="clear" w:color="auto" w:fill="FFFFFF"/>
        </w:rPr>
        <w:t xml:space="preserve">  </w:t>
      </w:r>
    </w:p>
    <w:p w14:paraId="06F19F10" w14:textId="4E4D0590" w:rsidR="009E3419" w:rsidRDefault="003C43FA" w:rsidP="000B5464">
      <w:pPr>
        <w:pStyle w:val="PlainText"/>
        <w:autoSpaceDE w:val="0"/>
        <w:autoSpaceDN w:val="0"/>
        <w:adjustRightInd w:val="0"/>
        <w:spacing w:before="120"/>
        <w:rPr>
          <w:rFonts w:cs="Times New Roman"/>
          <w:szCs w:val="24"/>
          <w:shd w:val="clear" w:color="auto" w:fill="FFFFFF"/>
        </w:rPr>
      </w:pPr>
      <w:r>
        <w:rPr>
          <w:rFonts w:cs="Times New Roman"/>
          <w:szCs w:val="24"/>
          <w:shd w:val="clear" w:color="auto" w:fill="FFFFFF"/>
        </w:rPr>
        <w:t xml:space="preserve">A beneficial owner is also a person </w:t>
      </w:r>
      <w:r w:rsidR="00B37601" w:rsidRPr="00E82FE8">
        <w:rPr>
          <w:rFonts w:cs="Times New Roman"/>
          <w:szCs w:val="24"/>
          <w:shd w:val="clear" w:color="auto" w:fill="FFFFFF"/>
        </w:rPr>
        <w:t xml:space="preserve">with “significant responsibility to control, manage, or direct” the entity, including </w:t>
      </w:r>
      <w:r w:rsidR="002224B0">
        <w:rPr>
          <w:rFonts w:cs="Times New Roman"/>
          <w:szCs w:val="24"/>
          <w:shd w:val="clear" w:color="auto" w:fill="FFFFFF"/>
        </w:rPr>
        <w:t xml:space="preserve">board members and </w:t>
      </w:r>
      <w:r w:rsidR="00B37601" w:rsidRPr="00E82FE8">
        <w:rPr>
          <w:rFonts w:cs="Times New Roman"/>
          <w:szCs w:val="24"/>
          <w:shd w:val="clear" w:color="auto" w:fill="FFFFFF"/>
        </w:rPr>
        <w:t xml:space="preserve">senior </w:t>
      </w:r>
      <w:r w:rsidR="00C402B9">
        <w:rPr>
          <w:rFonts w:cs="Times New Roman"/>
          <w:szCs w:val="24"/>
          <w:shd w:val="clear" w:color="auto" w:fill="FFFFFF"/>
        </w:rPr>
        <w:t>officer</w:t>
      </w:r>
      <w:r w:rsidR="002224B0">
        <w:rPr>
          <w:rFonts w:cs="Times New Roman"/>
          <w:szCs w:val="24"/>
          <w:shd w:val="clear" w:color="auto" w:fill="FFFFFF"/>
        </w:rPr>
        <w:t>s</w:t>
      </w:r>
      <w:r w:rsidR="00923A2F">
        <w:rPr>
          <w:rFonts w:cs="Times New Roman"/>
          <w:szCs w:val="24"/>
          <w:shd w:val="clear" w:color="auto" w:fill="FFFFFF"/>
        </w:rPr>
        <w:t xml:space="preserve">.  Senior officer is defined as </w:t>
      </w:r>
      <w:bookmarkStart w:id="1" w:name="_Hlk117783882"/>
      <w:r w:rsidR="00C402B9">
        <w:rPr>
          <w:rFonts w:cs="Times New Roman"/>
          <w:szCs w:val="24"/>
          <w:shd w:val="clear" w:color="auto" w:fill="FFFFFF"/>
        </w:rPr>
        <w:t>a</w:t>
      </w:r>
      <w:bookmarkStart w:id="2" w:name="_Hlk117783828"/>
      <w:r w:rsidR="00C402B9">
        <w:rPr>
          <w:rFonts w:cs="Times New Roman"/>
          <w:szCs w:val="24"/>
          <w:shd w:val="clear" w:color="auto" w:fill="FFFFFF"/>
        </w:rPr>
        <w:t xml:space="preserve"> </w:t>
      </w:r>
      <w:r w:rsidR="002D72AB">
        <w:rPr>
          <w:rFonts w:cs="Times New Roman"/>
          <w:szCs w:val="24"/>
          <w:shd w:val="clear" w:color="auto" w:fill="FFFFFF"/>
        </w:rPr>
        <w:t>“</w:t>
      </w:r>
      <w:r w:rsidR="00C402B9">
        <w:rPr>
          <w:rFonts w:cs="Times New Roman"/>
          <w:szCs w:val="24"/>
          <w:shd w:val="clear" w:color="auto" w:fill="FFFFFF"/>
        </w:rPr>
        <w:t xml:space="preserve">president, </w:t>
      </w:r>
      <w:r w:rsidR="002D72AB">
        <w:rPr>
          <w:rFonts w:cs="Times New Roman"/>
          <w:szCs w:val="24"/>
          <w:shd w:val="clear" w:color="auto" w:fill="FFFFFF"/>
        </w:rPr>
        <w:t>c</w:t>
      </w:r>
      <w:r w:rsidR="002D72AB" w:rsidRPr="00E82FE8">
        <w:rPr>
          <w:rFonts w:cs="Times New Roman"/>
          <w:szCs w:val="24"/>
          <w:shd w:val="clear" w:color="auto" w:fill="FFFFFF"/>
        </w:rPr>
        <w:t xml:space="preserve">hief </w:t>
      </w:r>
      <w:r w:rsidR="002D72AB">
        <w:rPr>
          <w:rFonts w:cs="Times New Roman"/>
          <w:szCs w:val="24"/>
          <w:shd w:val="clear" w:color="auto" w:fill="FFFFFF"/>
        </w:rPr>
        <w:t>f</w:t>
      </w:r>
      <w:r w:rsidR="002D72AB" w:rsidRPr="00E82FE8">
        <w:rPr>
          <w:rFonts w:cs="Times New Roman"/>
          <w:szCs w:val="24"/>
          <w:shd w:val="clear" w:color="auto" w:fill="FFFFFF"/>
        </w:rPr>
        <w:t xml:space="preserve">inancial </w:t>
      </w:r>
      <w:r w:rsidR="002D72AB">
        <w:rPr>
          <w:rFonts w:cs="Times New Roman"/>
          <w:szCs w:val="24"/>
          <w:shd w:val="clear" w:color="auto" w:fill="FFFFFF"/>
        </w:rPr>
        <w:t>o</w:t>
      </w:r>
      <w:r w:rsidR="002D72AB" w:rsidRPr="00E82FE8">
        <w:rPr>
          <w:rFonts w:cs="Times New Roman"/>
          <w:szCs w:val="24"/>
          <w:shd w:val="clear" w:color="auto" w:fill="FFFFFF"/>
        </w:rPr>
        <w:t xml:space="preserve">fficer, </w:t>
      </w:r>
      <w:r w:rsidR="002D72AB">
        <w:rPr>
          <w:rFonts w:cs="Times New Roman"/>
          <w:szCs w:val="24"/>
          <w:shd w:val="clear" w:color="auto" w:fill="FFFFFF"/>
        </w:rPr>
        <w:t xml:space="preserve">general counsel, </w:t>
      </w:r>
      <w:r w:rsidR="00C402B9">
        <w:rPr>
          <w:rFonts w:cs="Times New Roman"/>
          <w:szCs w:val="24"/>
          <w:shd w:val="clear" w:color="auto" w:fill="FFFFFF"/>
        </w:rPr>
        <w:t>c</w:t>
      </w:r>
      <w:r w:rsidR="00B37601" w:rsidRPr="00E82FE8">
        <w:rPr>
          <w:rFonts w:cs="Times New Roman"/>
          <w:szCs w:val="24"/>
          <w:shd w:val="clear" w:color="auto" w:fill="FFFFFF"/>
        </w:rPr>
        <w:t xml:space="preserve">hief </w:t>
      </w:r>
      <w:r w:rsidR="00C402B9">
        <w:rPr>
          <w:rFonts w:cs="Times New Roman"/>
          <w:szCs w:val="24"/>
          <w:shd w:val="clear" w:color="auto" w:fill="FFFFFF"/>
        </w:rPr>
        <w:t>e</w:t>
      </w:r>
      <w:r w:rsidR="00B37601" w:rsidRPr="00E82FE8">
        <w:rPr>
          <w:rFonts w:cs="Times New Roman"/>
          <w:szCs w:val="24"/>
          <w:shd w:val="clear" w:color="auto" w:fill="FFFFFF"/>
        </w:rPr>
        <w:t xml:space="preserve">xecutive </w:t>
      </w:r>
      <w:r w:rsidR="00C402B9">
        <w:rPr>
          <w:rFonts w:cs="Times New Roman"/>
          <w:szCs w:val="24"/>
          <w:shd w:val="clear" w:color="auto" w:fill="FFFFFF"/>
        </w:rPr>
        <w:t>o</w:t>
      </w:r>
      <w:r w:rsidR="00B37601" w:rsidRPr="00E82FE8">
        <w:rPr>
          <w:rFonts w:cs="Times New Roman"/>
          <w:szCs w:val="24"/>
          <w:shd w:val="clear" w:color="auto" w:fill="FFFFFF"/>
        </w:rPr>
        <w:t xml:space="preserve">fficer, </w:t>
      </w:r>
      <w:r w:rsidR="002D72AB">
        <w:rPr>
          <w:rFonts w:cs="Times New Roman"/>
          <w:szCs w:val="24"/>
          <w:shd w:val="clear" w:color="auto" w:fill="FFFFFF"/>
        </w:rPr>
        <w:t>c</w:t>
      </w:r>
      <w:r w:rsidR="002D72AB" w:rsidRPr="00E82FE8">
        <w:rPr>
          <w:rFonts w:cs="Times New Roman"/>
          <w:szCs w:val="24"/>
          <w:shd w:val="clear" w:color="auto" w:fill="FFFFFF"/>
        </w:rPr>
        <w:t xml:space="preserve">hief </w:t>
      </w:r>
      <w:r w:rsidR="002D72AB">
        <w:rPr>
          <w:rFonts w:cs="Times New Roman"/>
          <w:szCs w:val="24"/>
          <w:shd w:val="clear" w:color="auto" w:fill="FFFFFF"/>
        </w:rPr>
        <w:t>o</w:t>
      </w:r>
      <w:r w:rsidR="002D72AB" w:rsidRPr="00E82FE8">
        <w:rPr>
          <w:rFonts w:cs="Times New Roman"/>
          <w:szCs w:val="24"/>
          <w:shd w:val="clear" w:color="auto" w:fill="FFFFFF"/>
        </w:rPr>
        <w:t xml:space="preserve">perating </w:t>
      </w:r>
      <w:r w:rsidR="002D72AB">
        <w:rPr>
          <w:rFonts w:cs="Times New Roman"/>
          <w:szCs w:val="24"/>
          <w:shd w:val="clear" w:color="auto" w:fill="FFFFFF"/>
        </w:rPr>
        <w:t>o</w:t>
      </w:r>
      <w:r w:rsidR="002D72AB" w:rsidRPr="00E82FE8">
        <w:rPr>
          <w:rFonts w:cs="Times New Roman"/>
          <w:szCs w:val="24"/>
          <w:shd w:val="clear" w:color="auto" w:fill="FFFFFF"/>
        </w:rPr>
        <w:t xml:space="preserve">fficer, </w:t>
      </w:r>
      <w:r w:rsidR="00923A2F">
        <w:rPr>
          <w:rFonts w:cs="Times New Roman"/>
          <w:szCs w:val="24"/>
          <w:shd w:val="clear" w:color="auto" w:fill="FFFFFF"/>
        </w:rPr>
        <w:t xml:space="preserve">or any other officer, </w:t>
      </w:r>
      <w:r w:rsidR="002D72AB">
        <w:rPr>
          <w:rFonts w:cs="Times New Roman"/>
          <w:szCs w:val="24"/>
          <w:shd w:val="clear" w:color="auto" w:fill="FFFFFF"/>
        </w:rPr>
        <w:t xml:space="preserve">regardless of title, </w:t>
      </w:r>
      <w:r w:rsidR="002D72AB" w:rsidRPr="00E82FE8">
        <w:rPr>
          <w:rFonts w:cs="Times New Roman"/>
          <w:szCs w:val="24"/>
          <w:shd w:val="clear" w:color="auto" w:fill="FFFFFF"/>
        </w:rPr>
        <w:t xml:space="preserve">who performs </w:t>
      </w:r>
      <w:r w:rsidR="002D72AB">
        <w:rPr>
          <w:rFonts w:cs="Times New Roman"/>
          <w:szCs w:val="24"/>
          <w:shd w:val="clear" w:color="auto" w:fill="FFFFFF"/>
        </w:rPr>
        <w:t xml:space="preserve">a </w:t>
      </w:r>
      <w:r w:rsidR="002D72AB" w:rsidRPr="00E82FE8">
        <w:rPr>
          <w:rFonts w:cs="Times New Roman"/>
          <w:szCs w:val="24"/>
          <w:shd w:val="clear" w:color="auto" w:fill="FFFFFF"/>
        </w:rPr>
        <w:t>similar function.”</w:t>
      </w:r>
      <w:bookmarkEnd w:id="1"/>
      <w:r w:rsidR="00B41FC1" w:rsidRPr="00E82FE8">
        <w:rPr>
          <w:rStyle w:val="FootnoteReference"/>
          <w:rFonts w:cs="Times New Roman"/>
          <w:szCs w:val="24"/>
          <w:shd w:val="clear" w:color="auto" w:fill="FFFFFF"/>
        </w:rPr>
        <w:footnoteReference w:id="31"/>
      </w:r>
      <w:bookmarkEnd w:id="2"/>
      <w:r w:rsidR="00B37601" w:rsidRPr="00E82FE8">
        <w:rPr>
          <w:rFonts w:cs="Times New Roman"/>
          <w:szCs w:val="24"/>
          <w:shd w:val="clear" w:color="auto" w:fill="FFFFFF"/>
        </w:rPr>
        <w:t xml:space="preserve">  </w:t>
      </w:r>
    </w:p>
    <w:p w14:paraId="087F3B36" w14:textId="0590B234" w:rsidR="00C402B9" w:rsidRPr="00E82FE8" w:rsidRDefault="00C402B9" w:rsidP="000B5464">
      <w:pPr>
        <w:pStyle w:val="PlainText"/>
        <w:autoSpaceDE w:val="0"/>
        <w:autoSpaceDN w:val="0"/>
        <w:adjustRightInd w:val="0"/>
        <w:spacing w:before="120"/>
        <w:rPr>
          <w:rFonts w:cs="Times New Roman"/>
          <w:szCs w:val="24"/>
        </w:rPr>
      </w:pPr>
      <w:r>
        <w:rPr>
          <w:rFonts w:cs="Times New Roman"/>
          <w:szCs w:val="24"/>
          <w:shd w:val="clear" w:color="auto" w:fill="FFFFFF"/>
        </w:rPr>
        <w:t>A beneficial owner does not include a minor child, a nominee or custodian for another person, an employee (not a senior officer), or a creditor.</w:t>
      </w:r>
      <w:r>
        <w:rPr>
          <w:rStyle w:val="FootnoteReference"/>
          <w:rFonts w:cs="Times New Roman"/>
          <w:szCs w:val="24"/>
          <w:shd w:val="clear" w:color="auto" w:fill="FFFFFF"/>
        </w:rPr>
        <w:footnoteReference w:id="32"/>
      </w:r>
      <w:r>
        <w:rPr>
          <w:rFonts w:cs="Times New Roman"/>
          <w:szCs w:val="24"/>
          <w:shd w:val="clear" w:color="auto" w:fill="FFFFFF"/>
        </w:rPr>
        <w:t xml:space="preserve"> </w:t>
      </w:r>
    </w:p>
    <w:p w14:paraId="2972460B" w14:textId="01D15F9F" w:rsidR="00474170" w:rsidRDefault="00474170" w:rsidP="00474170">
      <w:pPr>
        <w:pStyle w:val="Heading4"/>
        <w:rPr>
          <w:shd w:val="clear" w:color="auto" w:fill="FFFFFF"/>
        </w:rPr>
      </w:pPr>
      <w:r>
        <w:rPr>
          <w:shd w:val="clear" w:color="auto" w:fill="FFFFFF"/>
        </w:rPr>
        <w:t>Company Applicants and Lawyers</w:t>
      </w:r>
    </w:p>
    <w:p w14:paraId="0CC94EF4" w14:textId="0C6EF483" w:rsidR="00754170" w:rsidRDefault="00754170" w:rsidP="000B5464">
      <w:pPr>
        <w:pStyle w:val="PlainText"/>
        <w:autoSpaceDE w:val="0"/>
        <w:autoSpaceDN w:val="0"/>
        <w:adjustRightInd w:val="0"/>
        <w:spacing w:before="120"/>
        <w:rPr>
          <w:rFonts w:eastAsia="Times New Roman" w:cs="Times New Roman"/>
          <w:color w:val="333333"/>
          <w:szCs w:val="24"/>
        </w:rPr>
      </w:pPr>
      <w:r w:rsidRPr="00E82FE8">
        <w:rPr>
          <w:rFonts w:cs="Times New Roman"/>
          <w:szCs w:val="24"/>
          <w:shd w:val="clear" w:color="auto" w:fill="FFFFFF"/>
        </w:rPr>
        <w:t xml:space="preserve">The CTA’s reporting requirements </w:t>
      </w:r>
      <w:r>
        <w:rPr>
          <w:rFonts w:cs="Times New Roman"/>
          <w:szCs w:val="24"/>
          <w:shd w:val="clear" w:color="auto" w:fill="FFFFFF"/>
        </w:rPr>
        <w:t xml:space="preserve">also cover </w:t>
      </w:r>
      <w:r w:rsidR="006A5493">
        <w:rPr>
          <w:rFonts w:cs="Times New Roman"/>
          <w:szCs w:val="24"/>
          <w:shd w:val="clear" w:color="auto" w:fill="FFFFFF"/>
        </w:rPr>
        <w:t xml:space="preserve">a </w:t>
      </w:r>
      <w:r>
        <w:rPr>
          <w:rFonts w:cs="Times New Roman"/>
          <w:szCs w:val="24"/>
          <w:shd w:val="clear" w:color="auto" w:fill="FFFFFF"/>
        </w:rPr>
        <w:t>“company applicant”,</w:t>
      </w:r>
      <w:r w:rsidRPr="00754170">
        <w:rPr>
          <w:rFonts w:eastAsia="Times New Roman" w:cs="Times New Roman"/>
          <w:szCs w:val="24"/>
        </w:rPr>
        <w:t xml:space="preserve"> </w:t>
      </w:r>
      <w:r w:rsidR="006A5493">
        <w:rPr>
          <w:rFonts w:eastAsia="Times New Roman" w:cs="Times New Roman"/>
          <w:szCs w:val="24"/>
        </w:rPr>
        <w:t xml:space="preserve">who is </w:t>
      </w:r>
      <w:r w:rsidRPr="00754170">
        <w:rPr>
          <w:rFonts w:eastAsia="Times New Roman" w:cs="Times New Roman"/>
          <w:szCs w:val="24"/>
        </w:rPr>
        <w:t xml:space="preserve">an individual </w:t>
      </w:r>
      <w:r w:rsidR="00DA428D">
        <w:rPr>
          <w:rFonts w:eastAsia="Times New Roman" w:cs="Times New Roman"/>
          <w:szCs w:val="24"/>
        </w:rPr>
        <w:t>“</w:t>
      </w:r>
      <w:r w:rsidRPr="00754170">
        <w:rPr>
          <w:rFonts w:eastAsia="Times New Roman" w:cs="Times New Roman"/>
          <w:color w:val="333333"/>
          <w:szCs w:val="24"/>
        </w:rPr>
        <w:t xml:space="preserve">who directly files the document </w:t>
      </w:r>
      <w:r w:rsidR="00DA428D">
        <w:rPr>
          <w:rFonts w:eastAsia="Times New Roman" w:cs="Times New Roman"/>
          <w:color w:val="333333"/>
          <w:szCs w:val="24"/>
        </w:rPr>
        <w:t xml:space="preserve">that </w:t>
      </w:r>
      <w:r w:rsidRPr="00754170">
        <w:rPr>
          <w:rFonts w:eastAsia="Times New Roman" w:cs="Times New Roman"/>
          <w:color w:val="333333"/>
          <w:szCs w:val="24"/>
        </w:rPr>
        <w:t>create</w:t>
      </w:r>
      <w:r w:rsidR="00DA428D">
        <w:rPr>
          <w:rFonts w:eastAsia="Times New Roman" w:cs="Times New Roman"/>
          <w:color w:val="333333"/>
          <w:szCs w:val="24"/>
        </w:rPr>
        <w:t>s</w:t>
      </w:r>
      <w:r w:rsidRPr="00754170">
        <w:rPr>
          <w:rFonts w:eastAsia="Times New Roman" w:cs="Times New Roman"/>
          <w:color w:val="333333"/>
          <w:szCs w:val="24"/>
        </w:rPr>
        <w:t xml:space="preserve"> </w:t>
      </w:r>
      <w:r w:rsidR="00DA428D" w:rsidRPr="00754170">
        <w:rPr>
          <w:rFonts w:eastAsia="Times New Roman" w:cs="Times New Roman"/>
          <w:color w:val="333333"/>
          <w:szCs w:val="24"/>
        </w:rPr>
        <w:t xml:space="preserve">the </w:t>
      </w:r>
      <w:r w:rsidR="00DA428D">
        <w:rPr>
          <w:rFonts w:eastAsia="Times New Roman" w:cs="Times New Roman"/>
          <w:color w:val="333333"/>
          <w:szCs w:val="24"/>
        </w:rPr>
        <w:t xml:space="preserve">domestic </w:t>
      </w:r>
      <w:r w:rsidR="00DA428D" w:rsidRPr="00754170">
        <w:rPr>
          <w:rFonts w:eastAsia="Times New Roman" w:cs="Times New Roman"/>
          <w:color w:val="333333"/>
          <w:szCs w:val="24"/>
        </w:rPr>
        <w:t>reporting company</w:t>
      </w:r>
      <w:r w:rsidR="00DA428D">
        <w:rPr>
          <w:rFonts w:eastAsia="Times New Roman" w:cs="Times New Roman"/>
          <w:color w:val="333333"/>
          <w:szCs w:val="24"/>
        </w:rPr>
        <w:t xml:space="preserve">” or the “document that first registers the foreign </w:t>
      </w:r>
      <w:r w:rsidRPr="00754170">
        <w:rPr>
          <w:rFonts w:eastAsia="Times New Roman" w:cs="Times New Roman"/>
          <w:color w:val="333333"/>
          <w:szCs w:val="24"/>
        </w:rPr>
        <w:t>reporting company</w:t>
      </w:r>
      <w:r w:rsidR="00DA428D">
        <w:rPr>
          <w:rFonts w:eastAsia="Times New Roman" w:cs="Times New Roman"/>
          <w:color w:val="333333"/>
          <w:szCs w:val="24"/>
        </w:rPr>
        <w:t>.”</w:t>
      </w:r>
      <w:r w:rsidR="00DA428D">
        <w:rPr>
          <w:rStyle w:val="FootnoteReference"/>
          <w:rFonts w:eastAsia="Times New Roman" w:cs="Times New Roman"/>
          <w:szCs w:val="24"/>
        </w:rPr>
        <w:footnoteReference w:id="33"/>
      </w:r>
      <w:r w:rsidR="00DA428D">
        <w:rPr>
          <w:rFonts w:eastAsia="Times New Roman" w:cs="Times New Roman"/>
          <w:color w:val="333333"/>
          <w:szCs w:val="24"/>
        </w:rPr>
        <w:t xml:space="preserve">  A company applicant also includes </w:t>
      </w:r>
      <w:r w:rsidRPr="00754170">
        <w:rPr>
          <w:rFonts w:eastAsia="Times New Roman" w:cs="Times New Roman"/>
          <w:color w:val="333333"/>
          <w:szCs w:val="24"/>
        </w:rPr>
        <w:t xml:space="preserve">the </w:t>
      </w:r>
      <w:r w:rsidR="00DA428D">
        <w:rPr>
          <w:rFonts w:eastAsia="Times New Roman" w:cs="Times New Roman"/>
          <w:color w:val="333333"/>
          <w:szCs w:val="24"/>
        </w:rPr>
        <w:t>“</w:t>
      </w:r>
      <w:r w:rsidRPr="00754170">
        <w:rPr>
          <w:rFonts w:eastAsia="Times New Roman" w:cs="Times New Roman"/>
          <w:color w:val="333333"/>
          <w:szCs w:val="24"/>
        </w:rPr>
        <w:t xml:space="preserve">individual who is primarily responsible for directing or controlling </w:t>
      </w:r>
      <w:r w:rsidR="00640474">
        <w:rPr>
          <w:rFonts w:eastAsia="Times New Roman" w:cs="Times New Roman"/>
          <w:color w:val="333333"/>
          <w:szCs w:val="24"/>
        </w:rPr>
        <w:t xml:space="preserve">the </w:t>
      </w:r>
      <w:r w:rsidRPr="00754170">
        <w:rPr>
          <w:rFonts w:eastAsia="Times New Roman" w:cs="Times New Roman"/>
          <w:color w:val="333333"/>
          <w:szCs w:val="24"/>
        </w:rPr>
        <w:t>filing if more than one individual is involved in the filing</w:t>
      </w:r>
      <w:r w:rsidR="00DA428D">
        <w:rPr>
          <w:rFonts w:eastAsia="Times New Roman" w:cs="Times New Roman"/>
          <w:color w:val="333333"/>
          <w:szCs w:val="24"/>
        </w:rPr>
        <w:t xml:space="preserve"> of the document</w:t>
      </w:r>
      <w:r w:rsidRPr="00754170">
        <w:rPr>
          <w:rFonts w:eastAsia="Times New Roman" w:cs="Times New Roman"/>
          <w:color w:val="333333"/>
          <w:szCs w:val="24"/>
        </w:rPr>
        <w:t>.</w:t>
      </w:r>
      <w:r w:rsidR="00DA428D">
        <w:rPr>
          <w:rStyle w:val="FootnoteReference"/>
          <w:rFonts w:eastAsia="Times New Roman" w:cs="Times New Roman"/>
          <w:szCs w:val="24"/>
        </w:rPr>
        <w:footnoteReference w:id="34"/>
      </w:r>
      <w:r>
        <w:rPr>
          <w:rFonts w:eastAsia="Times New Roman" w:cs="Times New Roman"/>
          <w:color w:val="333333"/>
          <w:szCs w:val="24"/>
        </w:rPr>
        <w:t xml:space="preserve">  The rule </w:t>
      </w:r>
      <w:r w:rsidR="00C347B4">
        <w:rPr>
          <w:rFonts w:eastAsia="Times New Roman" w:cs="Times New Roman"/>
          <w:color w:val="333333"/>
          <w:szCs w:val="24"/>
        </w:rPr>
        <w:t xml:space="preserve">acknowledges that, under these definitions, </w:t>
      </w:r>
      <w:r>
        <w:rPr>
          <w:rFonts w:eastAsia="Times New Roman" w:cs="Times New Roman"/>
          <w:color w:val="333333"/>
          <w:szCs w:val="24"/>
        </w:rPr>
        <w:t xml:space="preserve">the person filing the formation document may be </w:t>
      </w:r>
      <w:r w:rsidR="00C7588C">
        <w:rPr>
          <w:rFonts w:eastAsia="Times New Roman" w:cs="Times New Roman"/>
          <w:color w:val="333333"/>
          <w:szCs w:val="24"/>
        </w:rPr>
        <w:t xml:space="preserve">a </w:t>
      </w:r>
      <w:r w:rsidR="00640474">
        <w:rPr>
          <w:rFonts w:eastAsia="Times New Roman" w:cs="Times New Roman"/>
          <w:color w:val="333333"/>
          <w:szCs w:val="24"/>
        </w:rPr>
        <w:t xml:space="preserve">legal assistant </w:t>
      </w:r>
      <w:r w:rsidR="00C7588C">
        <w:rPr>
          <w:rFonts w:eastAsia="Times New Roman" w:cs="Times New Roman"/>
          <w:color w:val="333333"/>
          <w:szCs w:val="24"/>
        </w:rPr>
        <w:t xml:space="preserve">and the person primarily responsible may be </w:t>
      </w:r>
      <w:r w:rsidR="00640474">
        <w:rPr>
          <w:rFonts w:eastAsia="Times New Roman" w:cs="Times New Roman"/>
          <w:color w:val="333333"/>
          <w:szCs w:val="24"/>
        </w:rPr>
        <w:t>an</w:t>
      </w:r>
      <w:r w:rsidR="00C7588C">
        <w:rPr>
          <w:rFonts w:eastAsia="Times New Roman" w:cs="Times New Roman"/>
          <w:color w:val="333333"/>
          <w:szCs w:val="24"/>
        </w:rPr>
        <w:t xml:space="preserve"> attorney.  In th</w:t>
      </w:r>
      <w:r w:rsidR="00C347B4">
        <w:rPr>
          <w:rFonts w:eastAsia="Times New Roman" w:cs="Times New Roman"/>
          <w:color w:val="333333"/>
          <w:szCs w:val="24"/>
        </w:rPr>
        <w:t>at</w:t>
      </w:r>
      <w:r w:rsidR="00C7588C">
        <w:rPr>
          <w:rFonts w:eastAsia="Times New Roman" w:cs="Times New Roman"/>
          <w:color w:val="333333"/>
          <w:szCs w:val="24"/>
        </w:rPr>
        <w:t xml:space="preserve"> case, both would report as company applicants.  </w:t>
      </w:r>
    </w:p>
    <w:p w14:paraId="30D07807" w14:textId="3C8EBF40" w:rsidR="00C347B4" w:rsidRDefault="00C347B4" w:rsidP="000B5464">
      <w:pPr>
        <w:pStyle w:val="PlainText"/>
        <w:autoSpaceDE w:val="0"/>
        <w:autoSpaceDN w:val="0"/>
        <w:adjustRightInd w:val="0"/>
        <w:spacing w:before="120"/>
        <w:rPr>
          <w:rFonts w:eastAsia="Times New Roman" w:cs="Times New Roman"/>
          <w:color w:val="000000" w:themeColor="text1"/>
          <w:szCs w:val="24"/>
        </w:rPr>
      </w:pPr>
      <w:r>
        <w:rPr>
          <w:rFonts w:eastAsia="Times New Roman" w:cs="Times New Roman"/>
          <w:color w:val="333333"/>
          <w:szCs w:val="24"/>
        </w:rPr>
        <w:t xml:space="preserve">Some lawyers may be reluctant to assume that role.  </w:t>
      </w:r>
      <w:r>
        <w:rPr>
          <w:rFonts w:eastAsia="Times New Roman" w:cs="Times New Roman"/>
          <w:color w:val="000000" w:themeColor="text1"/>
          <w:szCs w:val="24"/>
        </w:rPr>
        <w:t>Lawyers who only occasionally form legal entities may be inclined to refer out the work.  Lawyers in group practices may designate a lawyer who forms all entities on the group’s behalf.</w:t>
      </w:r>
    </w:p>
    <w:p w14:paraId="4B4BD8CF" w14:textId="73AD00C8" w:rsidR="00C347B4" w:rsidRDefault="00C347B4" w:rsidP="000B5464">
      <w:pPr>
        <w:pStyle w:val="PlainText"/>
        <w:autoSpaceDE w:val="0"/>
        <w:autoSpaceDN w:val="0"/>
        <w:adjustRightInd w:val="0"/>
        <w:spacing w:before="120"/>
        <w:rPr>
          <w:rFonts w:cs="Times New Roman"/>
          <w:szCs w:val="24"/>
        </w:rPr>
      </w:pPr>
      <w:r>
        <w:rPr>
          <w:rFonts w:eastAsia="Times New Roman" w:cs="Times New Roman"/>
          <w:color w:val="000000" w:themeColor="text1"/>
          <w:szCs w:val="24"/>
        </w:rPr>
        <w:lastRenderedPageBreak/>
        <w:t xml:space="preserve">For transactional lawyers, avoiding the role as company applicant may be difficult.  They </w:t>
      </w:r>
      <w:r>
        <w:rPr>
          <w:rFonts w:cs="Times New Roman"/>
          <w:szCs w:val="24"/>
        </w:rPr>
        <w:t>have traditionally drafted the entity constituent documents and filed the formation documents for their clients.  Clients have come to rely on these services and may be reluctant to change.  Most clients are ill-equipped to form their own entities and need legal assistance.</w:t>
      </w:r>
      <w:r w:rsidR="00950A4D">
        <w:rPr>
          <w:rFonts w:cs="Times New Roman"/>
          <w:szCs w:val="24"/>
        </w:rPr>
        <w:t xml:space="preserve">  Their lawyers will be responsible for “directing or controlling” the filings.</w:t>
      </w:r>
    </w:p>
    <w:p w14:paraId="37A71560" w14:textId="2A28208C" w:rsidR="00474170" w:rsidRDefault="00474170" w:rsidP="00474170">
      <w:pPr>
        <w:pStyle w:val="Heading4"/>
        <w:rPr>
          <w:shd w:val="clear" w:color="auto" w:fill="FFFFFF"/>
        </w:rPr>
      </w:pPr>
      <w:r>
        <w:rPr>
          <w:shd w:val="clear" w:color="auto" w:fill="FFFFFF"/>
        </w:rPr>
        <w:t>Reported Information</w:t>
      </w:r>
    </w:p>
    <w:p w14:paraId="1FEBCFC8" w14:textId="5F6B2BB1" w:rsidR="00474170" w:rsidRDefault="006A5493" w:rsidP="00474170">
      <w:pPr>
        <w:pStyle w:val="PlainText"/>
        <w:autoSpaceDE w:val="0"/>
        <w:autoSpaceDN w:val="0"/>
        <w:adjustRightInd w:val="0"/>
        <w:spacing w:before="120"/>
        <w:rPr>
          <w:rFonts w:cs="Times New Roman"/>
          <w:szCs w:val="24"/>
          <w:shd w:val="clear" w:color="auto" w:fill="FFFFFF"/>
        </w:rPr>
      </w:pPr>
      <w:r>
        <w:rPr>
          <w:rFonts w:cs="Times New Roman"/>
          <w:szCs w:val="24"/>
          <w:shd w:val="clear" w:color="auto" w:fill="FFFFFF"/>
        </w:rPr>
        <w:t xml:space="preserve">The reporting company will </w:t>
      </w:r>
      <w:r w:rsidR="00797E18">
        <w:rPr>
          <w:rFonts w:cs="Times New Roman"/>
          <w:szCs w:val="24"/>
          <w:shd w:val="clear" w:color="auto" w:fill="FFFFFF"/>
        </w:rPr>
        <w:t xml:space="preserve">submit its full legal name, any trade name or d/b/a, the street address of its principal place of business, the jurisdiction of its formation, and its EIN.  Each beneficial owner and company applicant will report his or her full legal name, date of birth, the beneficial owner’s residential street address, the company applicant’s business street address, and the individual’s unique identifying number from a passport, driver’s license or other government issued </w:t>
      </w:r>
      <w:r w:rsidR="003C43FA" w:rsidRPr="00E82FE8">
        <w:rPr>
          <w:rFonts w:eastAsia="Times New Roman"/>
          <w:szCs w:val="24"/>
        </w:rPr>
        <w:t xml:space="preserve">identifying </w:t>
      </w:r>
      <w:r w:rsidR="00797E18">
        <w:rPr>
          <w:rFonts w:cs="Times New Roman"/>
          <w:szCs w:val="24"/>
          <w:shd w:val="clear" w:color="auto" w:fill="FFFFFF"/>
        </w:rPr>
        <w:t>document.  The beneficial owner and company applicant must also submit an image of the unique identifying document.</w:t>
      </w:r>
      <w:r w:rsidR="00797E18">
        <w:rPr>
          <w:rStyle w:val="FootnoteReference"/>
          <w:rFonts w:cs="Times New Roman"/>
          <w:szCs w:val="24"/>
          <w:shd w:val="clear" w:color="auto" w:fill="FFFFFF"/>
        </w:rPr>
        <w:footnoteReference w:id="35"/>
      </w:r>
      <w:r w:rsidR="00797E18">
        <w:rPr>
          <w:rFonts w:cs="Times New Roman"/>
          <w:szCs w:val="24"/>
          <w:shd w:val="clear" w:color="auto" w:fill="FFFFFF"/>
        </w:rPr>
        <w:t xml:space="preserve">  </w:t>
      </w:r>
    </w:p>
    <w:p w14:paraId="3B532DE7" w14:textId="085759AE" w:rsidR="00474170" w:rsidRDefault="00474170" w:rsidP="00474170">
      <w:pPr>
        <w:pStyle w:val="Heading4"/>
        <w:rPr>
          <w:shd w:val="clear" w:color="auto" w:fill="FFFFFF"/>
        </w:rPr>
      </w:pPr>
      <w:r>
        <w:rPr>
          <w:shd w:val="clear" w:color="auto" w:fill="FFFFFF"/>
        </w:rPr>
        <w:t>Effective Date</w:t>
      </w:r>
    </w:p>
    <w:p w14:paraId="49782CCE" w14:textId="70B7BF4D" w:rsidR="00466BB1" w:rsidRDefault="00474170" w:rsidP="00474170">
      <w:pPr>
        <w:pStyle w:val="PlainText"/>
        <w:autoSpaceDE w:val="0"/>
        <w:autoSpaceDN w:val="0"/>
        <w:adjustRightInd w:val="0"/>
        <w:spacing w:before="120"/>
        <w:rPr>
          <w:rFonts w:cs="Times New Roman"/>
          <w:szCs w:val="24"/>
          <w:shd w:val="clear" w:color="auto" w:fill="FFFFFF"/>
        </w:rPr>
      </w:pPr>
      <w:r w:rsidRPr="00E82FE8">
        <w:rPr>
          <w:rFonts w:cs="Times New Roman"/>
          <w:szCs w:val="24"/>
          <w:shd w:val="clear" w:color="auto" w:fill="FFFFFF"/>
        </w:rPr>
        <w:t xml:space="preserve">The FinCEN reporting requirements </w:t>
      </w:r>
      <w:r>
        <w:rPr>
          <w:rFonts w:cs="Times New Roman"/>
          <w:szCs w:val="24"/>
          <w:shd w:val="clear" w:color="auto" w:fill="FFFFFF"/>
        </w:rPr>
        <w:t xml:space="preserve">will begin </w:t>
      </w:r>
      <w:r w:rsidRPr="00E82FE8">
        <w:rPr>
          <w:rFonts w:cs="Times New Roman"/>
          <w:szCs w:val="24"/>
          <w:shd w:val="clear" w:color="auto" w:fill="FFFFFF"/>
        </w:rPr>
        <w:t>January 1, 202</w:t>
      </w:r>
      <w:r>
        <w:rPr>
          <w:rFonts w:cs="Times New Roman"/>
          <w:szCs w:val="24"/>
          <w:shd w:val="clear" w:color="auto" w:fill="FFFFFF"/>
        </w:rPr>
        <w:t>4</w:t>
      </w:r>
      <w:r w:rsidRPr="00E82FE8">
        <w:rPr>
          <w:rFonts w:cs="Times New Roman"/>
          <w:szCs w:val="24"/>
          <w:shd w:val="clear" w:color="auto" w:fill="FFFFFF"/>
        </w:rPr>
        <w:t>.  A reporting company formed before January 1, 202</w:t>
      </w:r>
      <w:r>
        <w:rPr>
          <w:rFonts w:cs="Times New Roman"/>
          <w:szCs w:val="24"/>
          <w:shd w:val="clear" w:color="auto" w:fill="FFFFFF"/>
        </w:rPr>
        <w:t>4</w:t>
      </w:r>
      <w:r w:rsidRPr="00E82FE8">
        <w:rPr>
          <w:rFonts w:cs="Times New Roman"/>
          <w:szCs w:val="24"/>
          <w:shd w:val="clear" w:color="auto" w:fill="FFFFFF"/>
        </w:rPr>
        <w:t xml:space="preserve">, must report within </w:t>
      </w:r>
      <w:r>
        <w:rPr>
          <w:rFonts w:cs="Times New Roman"/>
          <w:szCs w:val="24"/>
          <w:shd w:val="clear" w:color="auto" w:fill="FFFFFF"/>
        </w:rPr>
        <w:t>one</w:t>
      </w:r>
      <w:r w:rsidRPr="00E82FE8">
        <w:rPr>
          <w:rFonts w:cs="Times New Roman"/>
          <w:szCs w:val="24"/>
          <w:shd w:val="clear" w:color="auto" w:fill="FFFFFF"/>
        </w:rPr>
        <w:t xml:space="preserve"> year. </w:t>
      </w:r>
      <w:r>
        <w:rPr>
          <w:rFonts w:cs="Times New Roman"/>
          <w:szCs w:val="24"/>
          <w:shd w:val="clear" w:color="auto" w:fill="FFFFFF"/>
        </w:rPr>
        <w:t xml:space="preserve"> </w:t>
      </w:r>
      <w:r w:rsidRPr="00E82FE8">
        <w:rPr>
          <w:rFonts w:cs="Times New Roman"/>
          <w:szCs w:val="24"/>
          <w:shd w:val="clear" w:color="auto" w:fill="FFFFFF"/>
        </w:rPr>
        <w:t xml:space="preserve">A reporting company formed </w:t>
      </w:r>
      <w:r>
        <w:rPr>
          <w:rFonts w:cs="Times New Roman"/>
          <w:szCs w:val="24"/>
          <w:shd w:val="clear" w:color="auto" w:fill="FFFFFF"/>
        </w:rPr>
        <w:t xml:space="preserve">on or </w:t>
      </w:r>
      <w:r w:rsidRPr="00E82FE8">
        <w:rPr>
          <w:rFonts w:cs="Times New Roman"/>
          <w:szCs w:val="24"/>
          <w:shd w:val="clear" w:color="auto" w:fill="FFFFFF"/>
        </w:rPr>
        <w:t>after January 1, 202</w:t>
      </w:r>
      <w:r>
        <w:rPr>
          <w:rFonts w:cs="Times New Roman"/>
          <w:szCs w:val="24"/>
          <w:shd w:val="clear" w:color="auto" w:fill="FFFFFF"/>
        </w:rPr>
        <w:t xml:space="preserve">4, </w:t>
      </w:r>
      <w:r w:rsidRPr="00E82FE8">
        <w:rPr>
          <w:rFonts w:cs="Times New Roman"/>
          <w:szCs w:val="24"/>
          <w:shd w:val="clear" w:color="auto" w:fill="FFFFFF"/>
        </w:rPr>
        <w:t xml:space="preserve">must report </w:t>
      </w:r>
      <w:r>
        <w:rPr>
          <w:rFonts w:cs="Times New Roman"/>
          <w:szCs w:val="24"/>
          <w:shd w:val="clear" w:color="auto" w:fill="FFFFFF"/>
        </w:rPr>
        <w:t xml:space="preserve">within 30 days of </w:t>
      </w:r>
      <w:r w:rsidRPr="00E82FE8">
        <w:rPr>
          <w:rFonts w:cs="Times New Roman"/>
          <w:szCs w:val="24"/>
          <w:shd w:val="clear" w:color="auto" w:fill="FFFFFF"/>
        </w:rPr>
        <w:t>formation.</w:t>
      </w:r>
      <w:r w:rsidR="006A5493" w:rsidRPr="00E82FE8">
        <w:rPr>
          <w:rStyle w:val="FootnoteReference"/>
          <w:rFonts w:cs="Times New Roman"/>
          <w:szCs w:val="24"/>
          <w:shd w:val="clear" w:color="auto" w:fill="FFFFFF"/>
        </w:rPr>
        <w:footnoteReference w:id="36"/>
      </w:r>
      <w:r w:rsidRPr="00E82FE8">
        <w:rPr>
          <w:rFonts w:cs="Times New Roman"/>
          <w:szCs w:val="24"/>
          <w:shd w:val="clear" w:color="auto" w:fill="FFFFFF"/>
        </w:rPr>
        <w:t xml:space="preserve"> </w:t>
      </w:r>
      <w:r>
        <w:rPr>
          <w:rFonts w:cs="Times New Roman"/>
          <w:szCs w:val="24"/>
          <w:shd w:val="clear" w:color="auto" w:fill="FFFFFF"/>
        </w:rPr>
        <w:t xml:space="preserve"> </w:t>
      </w:r>
      <w:r w:rsidRPr="00E82FE8">
        <w:rPr>
          <w:rFonts w:cs="Times New Roman"/>
          <w:szCs w:val="24"/>
          <w:shd w:val="clear" w:color="auto" w:fill="FFFFFF"/>
        </w:rPr>
        <w:t>If the beneficial ownership information changes</w:t>
      </w:r>
      <w:r w:rsidR="006A5493">
        <w:rPr>
          <w:rFonts w:cs="Times New Roman"/>
          <w:szCs w:val="24"/>
          <w:shd w:val="clear" w:color="auto" w:fill="FFFFFF"/>
        </w:rPr>
        <w:t xml:space="preserve"> or </w:t>
      </w:r>
      <w:r w:rsidR="006A5493" w:rsidRPr="00E82FE8">
        <w:rPr>
          <w:rFonts w:cs="Times New Roman"/>
          <w:szCs w:val="24"/>
          <w:shd w:val="clear" w:color="auto" w:fill="FFFFFF"/>
        </w:rPr>
        <w:t>the reporting company</w:t>
      </w:r>
      <w:r w:rsidR="006A5493">
        <w:rPr>
          <w:rFonts w:cs="Times New Roman"/>
          <w:szCs w:val="24"/>
          <w:shd w:val="clear" w:color="auto" w:fill="FFFFFF"/>
        </w:rPr>
        <w:t xml:space="preserve"> becomes subject to an exemption or loses an exemption</w:t>
      </w:r>
      <w:r w:rsidRPr="00E82FE8">
        <w:rPr>
          <w:rFonts w:cs="Times New Roman"/>
          <w:szCs w:val="24"/>
          <w:shd w:val="clear" w:color="auto" w:fill="FFFFFF"/>
        </w:rPr>
        <w:t xml:space="preserve">, the reporting company must file an amended report within </w:t>
      </w:r>
      <w:r>
        <w:rPr>
          <w:rFonts w:cs="Times New Roman"/>
          <w:szCs w:val="24"/>
          <w:shd w:val="clear" w:color="auto" w:fill="FFFFFF"/>
        </w:rPr>
        <w:t>30 days</w:t>
      </w:r>
      <w:r w:rsidRPr="00E82FE8">
        <w:rPr>
          <w:rFonts w:cs="Times New Roman"/>
          <w:szCs w:val="24"/>
          <w:shd w:val="clear" w:color="auto" w:fill="FFFFFF"/>
        </w:rPr>
        <w:t>.</w:t>
      </w:r>
      <w:r w:rsidR="006A5493">
        <w:rPr>
          <w:rStyle w:val="FootnoteReference"/>
          <w:rFonts w:cs="Times New Roman"/>
          <w:szCs w:val="24"/>
          <w:shd w:val="clear" w:color="auto" w:fill="FFFFFF"/>
        </w:rPr>
        <w:footnoteReference w:id="37"/>
      </w:r>
      <w:r w:rsidRPr="00E82FE8">
        <w:rPr>
          <w:rFonts w:cs="Times New Roman"/>
          <w:szCs w:val="24"/>
          <w:shd w:val="clear" w:color="auto" w:fill="FFFFFF"/>
        </w:rPr>
        <w:t xml:space="preserve">  </w:t>
      </w:r>
      <w:r w:rsidR="00466BB1">
        <w:rPr>
          <w:rFonts w:cs="Times New Roman"/>
          <w:szCs w:val="24"/>
          <w:shd w:val="clear" w:color="auto" w:fill="FFFFFF"/>
        </w:rPr>
        <w:t xml:space="preserve">Changes in the information about company applicants need not be updated.  </w:t>
      </w:r>
    </w:p>
    <w:p w14:paraId="20E5D0C7" w14:textId="0C4754FB" w:rsidR="00474170" w:rsidRDefault="00474170" w:rsidP="00474170">
      <w:pPr>
        <w:pStyle w:val="Heading4"/>
        <w:rPr>
          <w:shd w:val="clear" w:color="auto" w:fill="FFFFFF"/>
        </w:rPr>
      </w:pPr>
      <w:r>
        <w:rPr>
          <w:shd w:val="clear" w:color="auto" w:fill="FFFFFF"/>
        </w:rPr>
        <w:lastRenderedPageBreak/>
        <w:t>Access</w:t>
      </w:r>
    </w:p>
    <w:p w14:paraId="7CC1A1D0" w14:textId="2F75EA45" w:rsidR="00474170" w:rsidRDefault="00474170" w:rsidP="00474170">
      <w:pPr>
        <w:rPr>
          <w:szCs w:val="24"/>
          <w:shd w:val="clear" w:color="auto" w:fill="FFFFFF"/>
        </w:rPr>
      </w:pPr>
      <w:r w:rsidRPr="00E82FE8">
        <w:rPr>
          <w:szCs w:val="24"/>
          <w:shd w:val="clear" w:color="auto" w:fill="FFFFFF"/>
        </w:rPr>
        <w:t>The reports are not open to general public, but will be accessible to (a) Federal or state agencies engaged in national security, intelligence, or law enforcement activity; (b) Federal agencies acting on behalf of certain foreign authorities; (c) U.S. financial institutions “subject to consumer due diligence requirements” with the consent of the reporting company;</w:t>
      </w:r>
      <w:r w:rsidRPr="00E82FE8">
        <w:rPr>
          <w:rStyle w:val="FootnoteReference"/>
          <w:szCs w:val="24"/>
          <w:shd w:val="clear" w:color="auto" w:fill="FFFFFF"/>
        </w:rPr>
        <w:footnoteReference w:id="38"/>
      </w:r>
      <w:r w:rsidRPr="00E82FE8">
        <w:rPr>
          <w:szCs w:val="24"/>
          <w:shd w:val="clear" w:color="auto" w:fill="FFFFFF"/>
        </w:rPr>
        <w:t xml:space="preserve"> or (d) a “Federal functional regulator” or other regulatory agency to assess or otherwise ascertain compliance of financial institutions.</w:t>
      </w:r>
      <w:r w:rsidRPr="00E82FE8">
        <w:rPr>
          <w:rStyle w:val="FootnoteReference"/>
          <w:szCs w:val="24"/>
          <w:shd w:val="clear" w:color="auto" w:fill="FFFFFF"/>
        </w:rPr>
        <w:footnoteReference w:id="39"/>
      </w:r>
      <w:r w:rsidRPr="00E82FE8">
        <w:rPr>
          <w:szCs w:val="24"/>
          <w:shd w:val="clear" w:color="auto" w:fill="FFFFFF"/>
        </w:rPr>
        <w:t xml:space="preserve"> </w:t>
      </w:r>
    </w:p>
    <w:p w14:paraId="5FD9EE6F" w14:textId="77777777" w:rsidR="000527D1" w:rsidRDefault="000527D1" w:rsidP="000527D1">
      <w:pPr>
        <w:pStyle w:val="Heading4"/>
        <w:rPr>
          <w:shd w:val="clear" w:color="auto" w:fill="FFFFFF"/>
        </w:rPr>
      </w:pPr>
      <w:r>
        <w:rPr>
          <w:shd w:val="clear" w:color="auto" w:fill="FFFFFF"/>
        </w:rPr>
        <w:t xml:space="preserve">Penalties for Noncompliance  </w:t>
      </w:r>
    </w:p>
    <w:p w14:paraId="469CF1CA" w14:textId="77777777" w:rsidR="000527D1" w:rsidRDefault="000527D1" w:rsidP="000527D1">
      <w:pPr>
        <w:pStyle w:val="PlainText"/>
        <w:autoSpaceDE w:val="0"/>
        <w:autoSpaceDN w:val="0"/>
        <w:adjustRightInd w:val="0"/>
        <w:spacing w:before="120"/>
        <w:rPr>
          <w:rFonts w:cs="Times New Roman"/>
          <w:szCs w:val="24"/>
          <w:shd w:val="clear" w:color="auto" w:fill="FFFFFF"/>
        </w:rPr>
      </w:pPr>
      <w:r w:rsidRPr="00E82FE8">
        <w:rPr>
          <w:rFonts w:cs="Times New Roman"/>
          <w:szCs w:val="24"/>
          <w:shd w:val="clear" w:color="auto" w:fill="FFFFFF"/>
        </w:rPr>
        <w:t>Reporting companies and beneficial owners may face fines and jail time for willfully failing to report or falsely reporting.</w:t>
      </w:r>
      <w:r w:rsidRPr="00E82FE8">
        <w:rPr>
          <w:rStyle w:val="FootnoteReference"/>
          <w:rFonts w:cs="Times New Roman"/>
          <w:szCs w:val="24"/>
          <w:shd w:val="clear" w:color="auto" w:fill="FFFFFF"/>
        </w:rPr>
        <w:footnoteReference w:id="40"/>
      </w:r>
      <w:r w:rsidRPr="00E82FE8">
        <w:rPr>
          <w:rFonts w:cs="Times New Roman"/>
          <w:szCs w:val="24"/>
          <w:shd w:val="clear" w:color="auto" w:fill="FFFFFF"/>
        </w:rPr>
        <w:t xml:space="preserve"> </w:t>
      </w:r>
    </w:p>
    <w:p w14:paraId="4780A914" w14:textId="6B830C26" w:rsidR="000527D1" w:rsidRDefault="000527D1" w:rsidP="000527D1">
      <w:pPr>
        <w:pStyle w:val="Heading4"/>
        <w:rPr>
          <w:shd w:val="clear" w:color="auto" w:fill="FFFFFF"/>
        </w:rPr>
      </w:pPr>
      <w:r>
        <w:rPr>
          <w:shd w:val="clear" w:color="auto" w:fill="FFFFFF"/>
        </w:rPr>
        <w:t>Lawyers Notifying Clients</w:t>
      </w:r>
      <w:r w:rsidR="006E0BFC">
        <w:rPr>
          <w:shd w:val="clear" w:color="auto" w:fill="FFFFFF"/>
        </w:rPr>
        <w:t xml:space="preserve"> About CTA</w:t>
      </w:r>
    </w:p>
    <w:p w14:paraId="2DE343CD" w14:textId="7CE73AA0" w:rsidR="000527D1" w:rsidRDefault="000527D1" w:rsidP="000527D1">
      <w:pPr>
        <w:pStyle w:val="PlainText"/>
        <w:autoSpaceDE w:val="0"/>
        <w:autoSpaceDN w:val="0"/>
        <w:adjustRightInd w:val="0"/>
        <w:spacing w:before="120"/>
        <w:rPr>
          <w:rFonts w:cs="Times New Roman"/>
          <w:szCs w:val="24"/>
        </w:rPr>
      </w:pPr>
      <w:r>
        <w:t>Lawyers are ethically required to provide competent representation, which includes keeping abreast of changes in the law.</w:t>
      </w:r>
      <w:r>
        <w:rPr>
          <w:rStyle w:val="FootnoteReference"/>
        </w:rPr>
        <w:footnoteReference w:id="41"/>
      </w:r>
      <w:r>
        <w:t xml:space="preserve">  They are also required to keep their clients reasonably informed.</w:t>
      </w:r>
      <w:r>
        <w:rPr>
          <w:rStyle w:val="FootnoteReference"/>
        </w:rPr>
        <w:footnoteReference w:id="42"/>
      </w:r>
      <w:r>
        <w:t xml:space="preserve">  </w:t>
      </w:r>
      <w:r>
        <w:rPr>
          <w:rFonts w:cs="Times New Roman"/>
          <w:szCs w:val="24"/>
        </w:rPr>
        <w:t>Since the CTA applies to existing entities, lawyers must consider whether they will notify clients about the new reporting requirements and, if so, which clients they will notify.</w:t>
      </w:r>
      <w:r>
        <w:rPr>
          <w:rStyle w:val="FootnoteReference"/>
          <w:rFonts w:cs="Times New Roman"/>
          <w:szCs w:val="24"/>
        </w:rPr>
        <w:footnoteReference w:id="43"/>
      </w:r>
      <w:r>
        <w:rPr>
          <w:rFonts w:cs="Times New Roman"/>
          <w:szCs w:val="24"/>
        </w:rPr>
        <w:t xml:space="preserve">  For experienced transactional lawyers, the pool of clients receiving notice may be quite large.  Lawyers may start by sorting the entities they have formed or advised, determining whether the entities are likely reporting companies, </w:t>
      </w:r>
      <w:r>
        <w:rPr>
          <w:rFonts w:cs="Times New Roman"/>
          <w:szCs w:val="24"/>
        </w:rPr>
        <w:lastRenderedPageBreak/>
        <w:t>and asking whether the entity would expect the lawyers to contact them and advise them about the CTA’s new requirements?</w:t>
      </w:r>
      <w:r>
        <w:rPr>
          <w:rStyle w:val="FootnoteReference"/>
          <w:rFonts w:cs="Times New Roman"/>
          <w:szCs w:val="24"/>
        </w:rPr>
        <w:footnoteReference w:id="44"/>
      </w:r>
      <w:r>
        <w:rPr>
          <w:rFonts w:cs="Times New Roman"/>
          <w:szCs w:val="24"/>
        </w:rPr>
        <w:t xml:space="preserve">  Clients with ongoing relationships would likely expect contact.  Entities formed years ago with little subsequent contact may not expect notification.  </w:t>
      </w:r>
    </w:p>
    <w:p w14:paraId="4DC10A87" w14:textId="4FC3C1D3" w:rsidR="000527D1" w:rsidRDefault="000527D1" w:rsidP="000527D1">
      <w:pPr>
        <w:pStyle w:val="PlainText"/>
        <w:autoSpaceDE w:val="0"/>
        <w:autoSpaceDN w:val="0"/>
        <w:adjustRightInd w:val="0"/>
        <w:spacing w:before="120"/>
        <w:rPr>
          <w:rFonts w:cs="Times New Roman"/>
          <w:szCs w:val="24"/>
        </w:rPr>
      </w:pPr>
      <w:r>
        <w:rPr>
          <w:rFonts w:cs="Times New Roman"/>
          <w:szCs w:val="24"/>
        </w:rPr>
        <w:t xml:space="preserve">Filing for a reporting company formed years ago may pose some difficulty.  Presumably the reporting company will report its current ownership and has no requirement to report historical ownership.  Having an interest in the reporting company, current ownership should be motivated to cooperate in the process.  That would not be true for prior ownership with no present interest.  </w:t>
      </w:r>
      <w:r w:rsidR="006E0BFC">
        <w:rPr>
          <w:rFonts w:cs="Times New Roman"/>
          <w:szCs w:val="24"/>
        </w:rPr>
        <w:t xml:space="preserve">Existing reporting companies need not file company applicant information. </w:t>
      </w:r>
    </w:p>
    <w:p w14:paraId="6A1162AC" w14:textId="7A763BEA" w:rsidR="006E0BFC" w:rsidRDefault="006E0BFC" w:rsidP="006E0BFC">
      <w:pPr>
        <w:pStyle w:val="Heading4"/>
      </w:pPr>
      <w:r>
        <w:t>Changes for Lawyers</w:t>
      </w:r>
    </w:p>
    <w:p w14:paraId="61D81B94" w14:textId="4D4BCD10" w:rsidR="006E0BFC" w:rsidRPr="00E82FE8" w:rsidRDefault="006E0BFC" w:rsidP="006E0BFC">
      <w:pPr>
        <w:pStyle w:val="PlainText"/>
        <w:autoSpaceDE w:val="0"/>
        <w:autoSpaceDN w:val="0"/>
        <w:adjustRightInd w:val="0"/>
        <w:spacing w:before="120"/>
        <w:rPr>
          <w:rFonts w:cs="Times New Roman"/>
          <w:szCs w:val="24"/>
          <w:shd w:val="clear" w:color="auto" w:fill="FFFFFF"/>
        </w:rPr>
      </w:pPr>
      <w:r>
        <w:rPr>
          <w:rFonts w:cs="Times New Roman"/>
          <w:szCs w:val="24"/>
        </w:rPr>
        <w:t xml:space="preserve">For lawyers accepting the role as company applicant, it will be imperative to define their duties in an engagement letter.  </w:t>
      </w:r>
      <w:r>
        <w:rPr>
          <w:rFonts w:eastAsia="Times New Roman" w:cs="Times New Roman"/>
          <w:color w:val="000000" w:themeColor="text1"/>
          <w:szCs w:val="24"/>
        </w:rPr>
        <w:t>The engagement letter should describe the client’s responsibilities under the CTA and state who will prepare and file the formation document, who will gather and file the FinCEN information for the reporting company, beneficial owners, and applicants, and how updating the reports will be handled.</w:t>
      </w:r>
      <w:r>
        <w:rPr>
          <w:rStyle w:val="FootnoteReference"/>
          <w:rFonts w:eastAsia="Times New Roman" w:cs="Times New Roman"/>
          <w:color w:val="000000" w:themeColor="text1"/>
          <w:szCs w:val="24"/>
        </w:rPr>
        <w:footnoteReference w:id="45"/>
      </w:r>
      <w:r>
        <w:rPr>
          <w:rFonts w:eastAsia="Times New Roman" w:cs="Times New Roman"/>
          <w:color w:val="000000" w:themeColor="text1"/>
          <w:szCs w:val="24"/>
        </w:rPr>
        <w:t xml:space="preserve">  The engagement letter should also identify the client as the reporting company and recognize that the beneficial owners and management are not their clients.  If not a client, the beneficial owners will not enjoy the duties owed to clients, such as a duty of confidentiality.  Nevertheless, the lawyer will be handling confidential information about the beneficial owners and should consider what steps they will take to protect the confidential information of the beneficial owners.</w:t>
      </w:r>
    </w:p>
    <w:p w14:paraId="3AA6ED89" w14:textId="4E2F3DFE" w:rsidR="006E0BFC" w:rsidRDefault="006E0BFC" w:rsidP="006E0BFC">
      <w:pPr>
        <w:pStyle w:val="PlainText"/>
        <w:autoSpaceDE w:val="0"/>
        <w:autoSpaceDN w:val="0"/>
        <w:adjustRightInd w:val="0"/>
        <w:spacing w:before="120"/>
        <w:rPr>
          <w:rFonts w:cs="Times New Roman"/>
          <w:szCs w:val="24"/>
          <w:shd w:val="clear" w:color="auto" w:fill="FFFFFF"/>
        </w:rPr>
      </w:pPr>
      <w:r>
        <w:rPr>
          <w:rFonts w:cs="Times New Roman"/>
          <w:szCs w:val="24"/>
          <w:shd w:val="clear" w:color="auto" w:fill="FFFFFF"/>
        </w:rPr>
        <w:t>A</w:t>
      </w:r>
      <w:r w:rsidRPr="00E82FE8">
        <w:rPr>
          <w:rFonts w:cs="Times New Roman"/>
          <w:szCs w:val="24"/>
          <w:shd w:val="clear" w:color="auto" w:fill="FFFFFF"/>
        </w:rPr>
        <w:t xml:space="preserve">ttorneys practicing </w:t>
      </w:r>
      <w:r>
        <w:rPr>
          <w:rFonts w:cs="Times New Roman"/>
          <w:szCs w:val="24"/>
          <w:shd w:val="clear" w:color="auto" w:fill="FFFFFF"/>
        </w:rPr>
        <w:t xml:space="preserve">transactional </w:t>
      </w:r>
      <w:r w:rsidRPr="00E82FE8">
        <w:rPr>
          <w:rFonts w:cs="Times New Roman"/>
          <w:szCs w:val="24"/>
          <w:shd w:val="clear" w:color="auto" w:fill="FFFFFF"/>
        </w:rPr>
        <w:t xml:space="preserve">law will likely add CTA reporting to the other tasks in forming business entities.  That means they will make professional judgments </w:t>
      </w:r>
      <w:r w:rsidRPr="00E82FE8">
        <w:rPr>
          <w:rFonts w:cs="Times New Roman"/>
          <w:szCs w:val="24"/>
          <w:shd w:val="clear" w:color="auto" w:fill="FFFFFF"/>
        </w:rPr>
        <w:lastRenderedPageBreak/>
        <w:t xml:space="preserve">about who is a reporting company and </w:t>
      </w:r>
      <w:r w:rsidR="002E5775">
        <w:rPr>
          <w:rFonts w:cs="Times New Roman"/>
          <w:szCs w:val="24"/>
          <w:shd w:val="clear" w:color="auto" w:fill="FFFFFF"/>
        </w:rPr>
        <w:t xml:space="preserve">who are its </w:t>
      </w:r>
      <w:r w:rsidRPr="00E82FE8">
        <w:rPr>
          <w:rFonts w:cs="Times New Roman"/>
          <w:szCs w:val="24"/>
          <w:shd w:val="clear" w:color="auto" w:fill="FFFFFF"/>
        </w:rPr>
        <w:t>beneficial owner</w:t>
      </w:r>
      <w:r w:rsidR="002E5775">
        <w:rPr>
          <w:rFonts w:cs="Times New Roman"/>
          <w:szCs w:val="24"/>
          <w:shd w:val="clear" w:color="auto" w:fill="FFFFFF"/>
        </w:rPr>
        <w:t>s</w:t>
      </w:r>
      <w:r w:rsidRPr="00E82FE8">
        <w:rPr>
          <w:rFonts w:cs="Times New Roman"/>
          <w:szCs w:val="24"/>
          <w:shd w:val="clear" w:color="auto" w:fill="FFFFFF"/>
        </w:rPr>
        <w:t xml:space="preserve"> and </w:t>
      </w:r>
      <w:r w:rsidR="002E5775">
        <w:rPr>
          <w:rFonts w:cs="Times New Roman"/>
          <w:szCs w:val="24"/>
          <w:shd w:val="clear" w:color="auto" w:fill="FFFFFF"/>
        </w:rPr>
        <w:t xml:space="preserve">the lawyers </w:t>
      </w:r>
      <w:r w:rsidRPr="00E82FE8">
        <w:rPr>
          <w:rFonts w:cs="Times New Roman"/>
          <w:szCs w:val="24"/>
          <w:shd w:val="clear" w:color="auto" w:fill="FFFFFF"/>
        </w:rPr>
        <w:t xml:space="preserve">will collect the information required by the report.  Since the CTA database is not publicly available, </w:t>
      </w:r>
      <w:r>
        <w:rPr>
          <w:rFonts w:cs="Times New Roman"/>
          <w:szCs w:val="24"/>
          <w:shd w:val="clear" w:color="auto" w:fill="FFFFFF"/>
        </w:rPr>
        <w:t>their clients</w:t>
      </w:r>
      <w:r w:rsidRPr="00E82FE8">
        <w:rPr>
          <w:rFonts w:cs="Times New Roman"/>
          <w:szCs w:val="24"/>
          <w:shd w:val="clear" w:color="auto" w:fill="FFFFFF"/>
        </w:rPr>
        <w:t xml:space="preserve"> may be asked to </w:t>
      </w:r>
      <w:r>
        <w:rPr>
          <w:rFonts w:cs="Times New Roman"/>
          <w:szCs w:val="24"/>
          <w:shd w:val="clear" w:color="auto" w:fill="FFFFFF"/>
        </w:rPr>
        <w:t xml:space="preserve">represent and warrant </w:t>
      </w:r>
      <w:r w:rsidRPr="00E82FE8">
        <w:rPr>
          <w:rFonts w:cs="Times New Roman"/>
          <w:szCs w:val="24"/>
          <w:shd w:val="clear" w:color="auto" w:fill="FFFFFF"/>
        </w:rPr>
        <w:t xml:space="preserve">CTA compliance in financing, acquisitions and other business transactions.  That will require </w:t>
      </w:r>
      <w:r>
        <w:rPr>
          <w:rFonts w:cs="Times New Roman"/>
          <w:szCs w:val="24"/>
          <w:shd w:val="clear" w:color="auto" w:fill="FFFFFF"/>
        </w:rPr>
        <w:t xml:space="preserve">the lawyer’s </w:t>
      </w:r>
      <w:r w:rsidRPr="00E82FE8">
        <w:rPr>
          <w:rFonts w:cs="Times New Roman"/>
          <w:szCs w:val="24"/>
          <w:shd w:val="clear" w:color="auto" w:fill="FFFFFF"/>
        </w:rPr>
        <w:t xml:space="preserve">professional due diligence </w:t>
      </w:r>
      <w:r>
        <w:rPr>
          <w:rFonts w:cs="Times New Roman"/>
          <w:szCs w:val="24"/>
          <w:shd w:val="clear" w:color="auto" w:fill="FFFFFF"/>
        </w:rPr>
        <w:t>to properly advise clients</w:t>
      </w:r>
      <w:r w:rsidRPr="00E82FE8">
        <w:rPr>
          <w:rFonts w:cs="Times New Roman"/>
          <w:szCs w:val="24"/>
          <w:shd w:val="clear" w:color="auto" w:fill="FFFFFF"/>
        </w:rPr>
        <w:t>.  At the least, companies must implement systems for updating their CTA reporting and will be expected to demonstrate CTA compliance.  Attorneys will assist in that process.</w:t>
      </w:r>
    </w:p>
    <w:p w14:paraId="27151401" w14:textId="02C79D9C" w:rsidR="00524863" w:rsidRPr="00E82FE8" w:rsidRDefault="00524863" w:rsidP="00524863">
      <w:pPr>
        <w:pStyle w:val="Heading3"/>
        <w:rPr>
          <w:shd w:val="clear" w:color="auto" w:fill="FFFFFF"/>
        </w:rPr>
      </w:pPr>
      <w:r>
        <w:rPr>
          <w:shd w:val="clear" w:color="auto" w:fill="FFFFFF"/>
        </w:rPr>
        <w:t>Governance in Distress</w:t>
      </w:r>
      <w:r w:rsidR="00801BC1">
        <w:rPr>
          <w:shd w:val="clear" w:color="auto" w:fill="FFFFFF"/>
        </w:rPr>
        <w:t>ed</w:t>
      </w:r>
      <w:r>
        <w:rPr>
          <w:shd w:val="clear" w:color="auto" w:fill="FFFFFF"/>
        </w:rPr>
        <w:t xml:space="preserve"> Companies</w:t>
      </w:r>
    </w:p>
    <w:p w14:paraId="6EAD3331" w14:textId="14A262A2" w:rsidR="00524863" w:rsidRDefault="00524863" w:rsidP="00524863">
      <w:pPr>
        <w:rPr>
          <w:shd w:val="clear" w:color="auto" w:fill="FFFFFF"/>
        </w:rPr>
      </w:pPr>
      <w:r>
        <w:rPr>
          <w:shd w:val="clear" w:color="auto" w:fill="FFFFFF"/>
        </w:rPr>
        <w:t xml:space="preserve">A weakening economy will stress more companies.  It is worth examining the governance </w:t>
      </w:r>
      <w:r w:rsidR="007B0203">
        <w:rPr>
          <w:shd w:val="clear" w:color="auto" w:fill="FFFFFF"/>
        </w:rPr>
        <w:t xml:space="preserve">rules for </w:t>
      </w:r>
      <w:r>
        <w:rPr>
          <w:shd w:val="clear" w:color="auto" w:fill="FFFFFF"/>
        </w:rPr>
        <w:t>distress</w:t>
      </w:r>
      <w:r w:rsidR="007B0203">
        <w:rPr>
          <w:shd w:val="clear" w:color="auto" w:fill="FFFFFF"/>
        </w:rPr>
        <w:t>ed</w:t>
      </w:r>
      <w:r>
        <w:rPr>
          <w:shd w:val="clear" w:color="auto" w:fill="FFFFFF"/>
        </w:rPr>
        <w:t xml:space="preserve"> companies.  Generally, corporate directors and officers owe fiduciary dut</w:t>
      </w:r>
      <w:r w:rsidR="007B0203">
        <w:rPr>
          <w:shd w:val="clear" w:color="auto" w:fill="FFFFFF"/>
        </w:rPr>
        <w:t>ies</w:t>
      </w:r>
      <w:r>
        <w:rPr>
          <w:shd w:val="clear" w:color="auto" w:fill="FFFFFF"/>
        </w:rPr>
        <w:t xml:space="preserve"> to the company and its shareholders. </w:t>
      </w:r>
      <w:r w:rsidR="00F67D77">
        <w:rPr>
          <w:shd w:val="clear" w:color="auto" w:fill="FFFFFF"/>
        </w:rPr>
        <w:t xml:space="preserve"> </w:t>
      </w:r>
      <w:r>
        <w:rPr>
          <w:shd w:val="clear" w:color="auto" w:fill="FFFFFF"/>
        </w:rPr>
        <w:t xml:space="preserve">However, when a company </w:t>
      </w:r>
      <w:r w:rsidR="000F090E">
        <w:rPr>
          <w:shd w:val="clear" w:color="auto" w:fill="FFFFFF"/>
        </w:rPr>
        <w:t>becomes insolvent</w:t>
      </w:r>
      <w:r>
        <w:rPr>
          <w:shd w:val="clear" w:color="auto" w:fill="FFFFFF"/>
        </w:rPr>
        <w:t>, that fiduciary duty may extend to the company’s creditors.</w:t>
      </w:r>
      <w:r w:rsidR="00F67D77">
        <w:rPr>
          <w:rStyle w:val="FootnoteReference"/>
          <w:shd w:val="clear" w:color="auto" w:fill="FFFFFF"/>
        </w:rPr>
        <w:footnoteReference w:id="46"/>
      </w:r>
    </w:p>
    <w:p w14:paraId="6F5F7EBF" w14:textId="00D7E239" w:rsidR="00F67D77" w:rsidRDefault="002E5775" w:rsidP="00524863">
      <w:pPr>
        <w:rPr>
          <w:szCs w:val="24"/>
          <w:shd w:val="clear" w:color="auto" w:fill="FFFFFF"/>
        </w:rPr>
      </w:pPr>
      <w:r>
        <w:rPr>
          <w:szCs w:val="24"/>
          <w:shd w:val="clear" w:color="auto" w:fill="FFFFFF"/>
        </w:rPr>
        <w:t xml:space="preserve">Decisions in the </w:t>
      </w:r>
      <w:r w:rsidR="00F67D77">
        <w:rPr>
          <w:szCs w:val="24"/>
          <w:shd w:val="clear" w:color="auto" w:fill="FFFFFF"/>
        </w:rPr>
        <w:t xml:space="preserve">recent Toys R Us </w:t>
      </w:r>
      <w:r w:rsidR="00E112C0">
        <w:rPr>
          <w:szCs w:val="24"/>
          <w:shd w:val="clear" w:color="auto" w:fill="FFFFFF"/>
        </w:rPr>
        <w:t>(“</w:t>
      </w:r>
      <w:r w:rsidR="007B0203">
        <w:rPr>
          <w:i/>
          <w:iCs/>
          <w:szCs w:val="24"/>
          <w:shd w:val="clear" w:color="auto" w:fill="FFFFFF"/>
        </w:rPr>
        <w:t>Toys</w:t>
      </w:r>
      <w:r w:rsidR="00E112C0">
        <w:rPr>
          <w:szCs w:val="24"/>
          <w:shd w:val="clear" w:color="auto" w:fill="FFFFFF"/>
        </w:rPr>
        <w:t xml:space="preserve">”) </w:t>
      </w:r>
      <w:r w:rsidR="00F67D77">
        <w:rPr>
          <w:szCs w:val="24"/>
          <w:shd w:val="clear" w:color="auto" w:fill="FFFFFF"/>
        </w:rPr>
        <w:t>bankruptcy illustrate the</w:t>
      </w:r>
      <w:r>
        <w:rPr>
          <w:szCs w:val="24"/>
          <w:shd w:val="clear" w:color="auto" w:fill="FFFFFF"/>
        </w:rPr>
        <w:t>se</w:t>
      </w:r>
      <w:r w:rsidR="00F67D77">
        <w:rPr>
          <w:szCs w:val="24"/>
          <w:shd w:val="clear" w:color="auto" w:fill="FFFFFF"/>
        </w:rPr>
        <w:t xml:space="preserve"> principle</w:t>
      </w:r>
      <w:r>
        <w:rPr>
          <w:szCs w:val="24"/>
          <w:shd w:val="clear" w:color="auto" w:fill="FFFFFF"/>
        </w:rPr>
        <w:t>s</w:t>
      </w:r>
      <w:r w:rsidR="00F67D77">
        <w:rPr>
          <w:szCs w:val="24"/>
          <w:shd w:val="clear" w:color="auto" w:fill="FFFFFF"/>
        </w:rPr>
        <w:t>.</w:t>
      </w:r>
      <w:r w:rsidR="00F67D77">
        <w:rPr>
          <w:rStyle w:val="FootnoteReference"/>
          <w:szCs w:val="24"/>
          <w:shd w:val="clear" w:color="auto" w:fill="FFFFFF"/>
        </w:rPr>
        <w:footnoteReference w:id="47"/>
      </w:r>
      <w:r w:rsidR="00F67D77">
        <w:rPr>
          <w:szCs w:val="24"/>
          <w:shd w:val="clear" w:color="auto" w:fill="FFFFFF"/>
        </w:rPr>
        <w:t xml:space="preserve">  </w:t>
      </w:r>
      <w:r w:rsidR="00313E1E">
        <w:rPr>
          <w:szCs w:val="24"/>
          <w:shd w:val="clear" w:color="auto" w:fill="FFFFFF"/>
        </w:rPr>
        <w:t xml:space="preserve">The creditors alleged that the </w:t>
      </w:r>
      <w:r w:rsidR="007B0203">
        <w:rPr>
          <w:szCs w:val="24"/>
          <w:shd w:val="clear" w:color="auto" w:fill="FFFFFF"/>
        </w:rPr>
        <w:t>Toys</w:t>
      </w:r>
      <w:r w:rsidR="00313E1E">
        <w:rPr>
          <w:szCs w:val="24"/>
          <w:shd w:val="clear" w:color="auto" w:fill="FFFFFF"/>
        </w:rPr>
        <w:t xml:space="preserve"> directors and officers breached their fiduciary duties by approving pre-petition retention bonuses to executives and management-level employees</w:t>
      </w:r>
      <w:r w:rsidR="00E112C0">
        <w:rPr>
          <w:szCs w:val="24"/>
          <w:shd w:val="clear" w:color="auto" w:fill="FFFFFF"/>
        </w:rPr>
        <w:t xml:space="preserve"> when Toys r Us was insolvent</w:t>
      </w:r>
      <w:r w:rsidR="00313E1E">
        <w:rPr>
          <w:szCs w:val="24"/>
          <w:shd w:val="clear" w:color="auto" w:fill="FFFFFF"/>
        </w:rPr>
        <w:t xml:space="preserve">. </w:t>
      </w:r>
    </w:p>
    <w:p w14:paraId="4F4C87C0" w14:textId="65878CF0" w:rsidR="00313E1E" w:rsidRDefault="00396363" w:rsidP="00524863">
      <w:pPr>
        <w:rPr>
          <w:szCs w:val="24"/>
          <w:shd w:val="clear" w:color="auto" w:fill="FFFFFF"/>
        </w:rPr>
      </w:pPr>
      <w:r>
        <w:rPr>
          <w:szCs w:val="24"/>
          <w:shd w:val="clear" w:color="auto" w:fill="FFFFFF"/>
        </w:rPr>
        <w:t xml:space="preserve">The </w:t>
      </w:r>
      <w:r w:rsidR="00313E1E">
        <w:rPr>
          <w:szCs w:val="24"/>
          <w:shd w:val="clear" w:color="auto" w:fill="FFFFFF"/>
        </w:rPr>
        <w:t xml:space="preserve">defendants </w:t>
      </w:r>
      <w:r w:rsidR="00F2334F">
        <w:rPr>
          <w:szCs w:val="24"/>
          <w:shd w:val="clear" w:color="auto" w:fill="FFFFFF"/>
        </w:rPr>
        <w:t xml:space="preserve">argued </w:t>
      </w:r>
      <w:r w:rsidR="00313E1E">
        <w:rPr>
          <w:szCs w:val="24"/>
          <w:shd w:val="clear" w:color="auto" w:fill="FFFFFF"/>
        </w:rPr>
        <w:t xml:space="preserve">they were protected by the business judgment rule and the exculpatory clause in the </w:t>
      </w:r>
      <w:r w:rsidR="007B0203">
        <w:rPr>
          <w:szCs w:val="24"/>
          <w:shd w:val="clear" w:color="auto" w:fill="FFFFFF"/>
        </w:rPr>
        <w:t>Toys</w:t>
      </w:r>
      <w:r w:rsidR="00313E1E">
        <w:rPr>
          <w:szCs w:val="24"/>
          <w:shd w:val="clear" w:color="auto" w:fill="FFFFFF"/>
        </w:rPr>
        <w:t xml:space="preserve"> </w:t>
      </w:r>
      <w:r w:rsidR="00F2334F">
        <w:rPr>
          <w:szCs w:val="24"/>
          <w:shd w:val="clear" w:color="auto" w:fill="FFFFFF"/>
        </w:rPr>
        <w:t>charter.</w:t>
      </w:r>
      <w:r w:rsidR="00F2334F">
        <w:rPr>
          <w:rStyle w:val="FootnoteReference"/>
          <w:szCs w:val="24"/>
          <w:shd w:val="clear" w:color="auto" w:fill="FFFFFF"/>
        </w:rPr>
        <w:footnoteReference w:id="48"/>
      </w:r>
      <w:r w:rsidR="00F2334F">
        <w:rPr>
          <w:szCs w:val="24"/>
          <w:shd w:val="clear" w:color="auto" w:fill="FFFFFF"/>
        </w:rPr>
        <w:t xml:space="preserve">  The business judgment rule cr</w:t>
      </w:r>
      <w:r w:rsidR="00690619">
        <w:rPr>
          <w:szCs w:val="24"/>
          <w:shd w:val="clear" w:color="auto" w:fill="FFFFFF"/>
        </w:rPr>
        <w:t>e</w:t>
      </w:r>
      <w:r w:rsidR="00F2334F">
        <w:rPr>
          <w:szCs w:val="24"/>
          <w:shd w:val="clear" w:color="auto" w:fill="FFFFFF"/>
        </w:rPr>
        <w:t xml:space="preserve">ates a presumption of propriety, which can be rebutted by showing a breach of the duty of </w:t>
      </w:r>
      <w:r w:rsidR="00F2334F">
        <w:rPr>
          <w:szCs w:val="24"/>
          <w:shd w:val="clear" w:color="auto" w:fill="FFFFFF"/>
        </w:rPr>
        <w:lastRenderedPageBreak/>
        <w:t xml:space="preserve">loyalty or </w:t>
      </w:r>
      <w:r w:rsidR="00690619">
        <w:rPr>
          <w:szCs w:val="24"/>
          <w:shd w:val="clear" w:color="auto" w:fill="FFFFFF"/>
        </w:rPr>
        <w:t xml:space="preserve">an </w:t>
      </w:r>
      <w:r w:rsidR="00F2334F">
        <w:rPr>
          <w:szCs w:val="24"/>
          <w:shd w:val="clear" w:color="auto" w:fill="FFFFFF"/>
        </w:rPr>
        <w:t>act</w:t>
      </w:r>
      <w:r w:rsidR="00690619">
        <w:rPr>
          <w:szCs w:val="24"/>
          <w:shd w:val="clear" w:color="auto" w:fill="FFFFFF"/>
        </w:rPr>
        <w:t xml:space="preserve"> taken</w:t>
      </w:r>
      <w:r w:rsidR="00F2334F">
        <w:rPr>
          <w:szCs w:val="24"/>
          <w:shd w:val="clear" w:color="auto" w:fill="FFFFFF"/>
        </w:rPr>
        <w:t xml:space="preserve"> in bad faith.</w:t>
      </w:r>
      <w:r w:rsidR="00F2334F">
        <w:rPr>
          <w:rStyle w:val="FootnoteReference"/>
          <w:szCs w:val="24"/>
          <w:shd w:val="clear" w:color="auto" w:fill="FFFFFF"/>
        </w:rPr>
        <w:footnoteReference w:id="49"/>
      </w:r>
      <w:r w:rsidR="00F2334F">
        <w:rPr>
          <w:szCs w:val="24"/>
          <w:shd w:val="clear" w:color="auto" w:fill="FFFFFF"/>
        </w:rPr>
        <w:t xml:space="preserve">  </w:t>
      </w:r>
      <w:r w:rsidR="006076FC">
        <w:rPr>
          <w:szCs w:val="24"/>
          <w:shd w:val="clear" w:color="auto" w:fill="FFFFFF"/>
        </w:rPr>
        <w:t xml:space="preserve">If rebutted, the burden shifts to defendants to show that the transaction was </w:t>
      </w:r>
      <w:r>
        <w:rPr>
          <w:szCs w:val="24"/>
          <w:shd w:val="clear" w:color="auto" w:fill="FFFFFF"/>
        </w:rPr>
        <w:t xml:space="preserve">entirely </w:t>
      </w:r>
      <w:r w:rsidR="006076FC">
        <w:rPr>
          <w:szCs w:val="24"/>
          <w:shd w:val="clear" w:color="auto" w:fill="FFFFFF"/>
        </w:rPr>
        <w:t>fair both in dealing and price.</w:t>
      </w:r>
      <w:r>
        <w:rPr>
          <w:rStyle w:val="FootnoteReference"/>
          <w:szCs w:val="24"/>
          <w:shd w:val="clear" w:color="auto" w:fill="FFFFFF"/>
        </w:rPr>
        <w:footnoteReference w:id="50"/>
      </w:r>
      <w:r w:rsidR="006076FC">
        <w:rPr>
          <w:szCs w:val="24"/>
          <w:shd w:val="clear" w:color="auto" w:fill="FFFFFF"/>
        </w:rPr>
        <w:t xml:space="preserve">  </w:t>
      </w:r>
    </w:p>
    <w:p w14:paraId="0FB59AE3" w14:textId="16289376" w:rsidR="006076FC" w:rsidRDefault="00396363" w:rsidP="00524863">
      <w:pPr>
        <w:rPr>
          <w:szCs w:val="24"/>
          <w:shd w:val="clear" w:color="auto" w:fill="FFFFFF"/>
        </w:rPr>
      </w:pPr>
      <w:r>
        <w:rPr>
          <w:szCs w:val="24"/>
          <w:shd w:val="clear" w:color="auto" w:fill="FFFFFF"/>
        </w:rPr>
        <w:t xml:space="preserve">The court denied defendants’ motion for summary judgment, saying that the creditors had shown that defendants were conflicted, ignored material information, and largely allowed the CEO to implement the bonus plan, even though he was the largest recipient under the plan. </w:t>
      </w:r>
      <w:r w:rsidR="0066529A">
        <w:rPr>
          <w:szCs w:val="24"/>
          <w:shd w:val="clear" w:color="auto" w:fill="FFFFFF"/>
        </w:rPr>
        <w:t xml:space="preserve"> With the conflict, defendants must show entire fairness in </w:t>
      </w:r>
      <w:r w:rsidR="00AE7507">
        <w:rPr>
          <w:szCs w:val="24"/>
          <w:shd w:val="clear" w:color="auto" w:fill="FFFFFF"/>
        </w:rPr>
        <w:t xml:space="preserve">the plan’s scope and implementation, which they were unlikely to do. </w:t>
      </w:r>
    </w:p>
    <w:p w14:paraId="1E6D497D" w14:textId="7C810A35" w:rsidR="00396363" w:rsidRDefault="00396363" w:rsidP="00524863">
      <w:pPr>
        <w:rPr>
          <w:szCs w:val="24"/>
          <w:shd w:val="clear" w:color="auto" w:fill="FFFFFF"/>
        </w:rPr>
      </w:pPr>
      <w:r>
        <w:rPr>
          <w:szCs w:val="24"/>
          <w:shd w:val="clear" w:color="auto" w:fill="FFFFFF"/>
        </w:rPr>
        <w:t xml:space="preserve">The creditors also attacked pre-petition advisory fees paid to </w:t>
      </w:r>
      <w:r w:rsidR="003A6449">
        <w:rPr>
          <w:szCs w:val="24"/>
          <w:shd w:val="clear" w:color="auto" w:fill="FFFFFF"/>
        </w:rPr>
        <w:t xml:space="preserve">three financial advisors, which were </w:t>
      </w:r>
      <w:r w:rsidR="00AE7507">
        <w:rPr>
          <w:szCs w:val="24"/>
          <w:shd w:val="clear" w:color="auto" w:fill="FFFFFF"/>
        </w:rPr>
        <w:t xml:space="preserve">also </w:t>
      </w:r>
      <w:r w:rsidR="007B0203">
        <w:rPr>
          <w:szCs w:val="24"/>
          <w:shd w:val="clear" w:color="auto" w:fill="FFFFFF"/>
        </w:rPr>
        <w:t>Toys</w:t>
      </w:r>
      <w:r>
        <w:rPr>
          <w:szCs w:val="24"/>
          <w:shd w:val="clear" w:color="auto" w:fill="FFFFFF"/>
        </w:rPr>
        <w:t>’s majority shareholders</w:t>
      </w:r>
      <w:r w:rsidR="003A6449">
        <w:rPr>
          <w:szCs w:val="24"/>
          <w:shd w:val="clear" w:color="auto" w:fill="FFFFFF"/>
        </w:rPr>
        <w:t xml:space="preserve">. The creditors claimed that </w:t>
      </w:r>
      <w:r w:rsidR="007B0203">
        <w:rPr>
          <w:szCs w:val="24"/>
          <w:shd w:val="clear" w:color="auto" w:fill="FFFFFF"/>
        </w:rPr>
        <w:t>Toys</w:t>
      </w:r>
      <w:r w:rsidR="003A6449">
        <w:rPr>
          <w:szCs w:val="24"/>
          <w:shd w:val="clear" w:color="auto" w:fill="FFFFFF"/>
        </w:rPr>
        <w:t xml:space="preserve"> was insolvent years before the bankruptcy </w:t>
      </w:r>
      <w:r w:rsidR="009B2571">
        <w:rPr>
          <w:szCs w:val="24"/>
          <w:shd w:val="clear" w:color="auto" w:fill="FFFFFF"/>
        </w:rPr>
        <w:t xml:space="preserve">filing and that during the insolvency it paid the shareholders large advisory fees for indeterminate work.  </w:t>
      </w:r>
    </w:p>
    <w:p w14:paraId="04EDC57D" w14:textId="2CB59CC1" w:rsidR="009B2571" w:rsidRDefault="00AE7507" w:rsidP="00524863">
      <w:pPr>
        <w:rPr>
          <w:szCs w:val="24"/>
          <w:shd w:val="clear" w:color="auto" w:fill="FFFFFF"/>
        </w:rPr>
      </w:pPr>
      <w:r>
        <w:rPr>
          <w:szCs w:val="24"/>
          <w:shd w:val="clear" w:color="auto" w:fill="FFFFFF"/>
        </w:rPr>
        <w:t>D</w:t>
      </w:r>
      <w:r w:rsidR="009B2571">
        <w:rPr>
          <w:szCs w:val="24"/>
          <w:shd w:val="clear" w:color="auto" w:fill="FFFFFF"/>
        </w:rPr>
        <w:t xml:space="preserve">efendants </w:t>
      </w:r>
      <w:r w:rsidR="00B35B57">
        <w:rPr>
          <w:szCs w:val="24"/>
          <w:shd w:val="clear" w:color="auto" w:fill="FFFFFF"/>
        </w:rPr>
        <w:t xml:space="preserve">disputed </w:t>
      </w:r>
      <w:r w:rsidR="009B2571">
        <w:rPr>
          <w:szCs w:val="24"/>
          <w:shd w:val="clear" w:color="auto" w:fill="FFFFFF"/>
        </w:rPr>
        <w:t xml:space="preserve">whether </w:t>
      </w:r>
      <w:r w:rsidR="007B0203">
        <w:rPr>
          <w:szCs w:val="24"/>
          <w:shd w:val="clear" w:color="auto" w:fill="FFFFFF"/>
        </w:rPr>
        <w:t>Toys</w:t>
      </w:r>
      <w:r w:rsidR="009B2571">
        <w:rPr>
          <w:szCs w:val="24"/>
          <w:shd w:val="clear" w:color="auto" w:fill="FFFFFF"/>
        </w:rPr>
        <w:t xml:space="preserve"> was insolvent when the payments were made and further asserted that the payments were contractually required, which precluded a breach of fiduciary duty.  </w:t>
      </w:r>
    </w:p>
    <w:p w14:paraId="1C936412" w14:textId="67059FD0" w:rsidR="009B2571" w:rsidRPr="00E82FE8" w:rsidRDefault="009B2571" w:rsidP="00524863">
      <w:pPr>
        <w:rPr>
          <w:szCs w:val="24"/>
          <w:shd w:val="clear" w:color="auto" w:fill="FFFFFF"/>
        </w:rPr>
      </w:pPr>
      <w:r>
        <w:rPr>
          <w:szCs w:val="24"/>
          <w:shd w:val="clear" w:color="auto" w:fill="FFFFFF"/>
        </w:rPr>
        <w:t>The court held that in the face of competing expert evidence about insolvency, it could not dismiss the claim under summary judgment.  As to the contractual obligation, it noted that the advisory contracts had been amended several times and that directors were duty bound when handling contractual obligations.</w:t>
      </w:r>
      <w:r>
        <w:rPr>
          <w:rStyle w:val="FootnoteReference"/>
          <w:szCs w:val="24"/>
          <w:shd w:val="clear" w:color="auto" w:fill="FFFFFF"/>
        </w:rPr>
        <w:footnoteReference w:id="51"/>
      </w:r>
      <w:r>
        <w:rPr>
          <w:szCs w:val="24"/>
          <w:shd w:val="clear" w:color="auto" w:fill="FFFFFF"/>
        </w:rPr>
        <w:t xml:space="preserve">  Whether defendants properly handled the advisory contracts involved factual determinations that could not be summarily dismissed. </w:t>
      </w:r>
    </w:p>
    <w:p w14:paraId="318281A1" w14:textId="576EAD97" w:rsidR="00D35510" w:rsidRPr="00E82FE8" w:rsidRDefault="00524863" w:rsidP="00D35510">
      <w:pPr>
        <w:pStyle w:val="Heading3"/>
        <w:rPr>
          <w:rFonts w:eastAsia="Times New Roman"/>
        </w:rPr>
      </w:pPr>
      <w:r>
        <w:rPr>
          <w:rFonts w:eastAsia="Times New Roman"/>
        </w:rPr>
        <w:lastRenderedPageBreak/>
        <w:t xml:space="preserve">Case Law </w:t>
      </w:r>
      <w:r w:rsidR="00D35510" w:rsidRPr="00E82FE8">
        <w:rPr>
          <w:rFonts w:eastAsia="Times New Roman"/>
        </w:rPr>
        <w:t>Developments</w:t>
      </w:r>
    </w:p>
    <w:p w14:paraId="02B759E5" w14:textId="1085C98A" w:rsidR="007626D3" w:rsidRDefault="007626D3" w:rsidP="001E6579">
      <w:pPr>
        <w:pStyle w:val="Heading4"/>
        <w:rPr>
          <w:rFonts w:eastAsia="Times New Roman"/>
        </w:rPr>
      </w:pPr>
      <w:r w:rsidRPr="00E82FE8">
        <w:rPr>
          <w:rFonts w:eastAsia="Times New Roman"/>
        </w:rPr>
        <w:t>Oklahoma</w:t>
      </w:r>
    </w:p>
    <w:p w14:paraId="747DEA36" w14:textId="673C67EA" w:rsidR="00B76FFF" w:rsidRDefault="00BF0D2D" w:rsidP="00B76FFF">
      <w:r w:rsidRPr="00DE7AF2">
        <w:rPr>
          <w:i/>
          <w:iCs/>
        </w:rPr>
        <w:t>Grand Crest Owners Association, Inc. v. Stites</w:t>
      </w:r>
      <w:r>
        <w:t>,</w:t>
      </w:r>
      <w:r w:rsidR="0015258A">
        <w:rPr>
          <w:rStyle w:val="FootnoteReference"/>
        </w:rPr>
        <w:footnoteReference w:id="52"/>
      </w:r>
      <w:r>
        <w:t xml:space="preserve"> </w:t>
      </w:r>
      <w:r w:rsidR="00DE7AF2">
        <w:t xml:space="preserve">is an interesting case that deals with the enforceability of restrictive property covenants in a corporation’s bylaws.  Grand Crest was incorporated in 1954 and acquired property on the shores of Grand Lake with 20 cabins.  It platted the property into four blocks, designated streets, and subdivided one block with one cabin on each lot.  Grand Crest sold the lots and each purchaser became a shareholder in Grand Crest.  The bylaws contained covenants providing for the maintenance of the streets and common areas, </w:t>
      </w:r>
      <w:r w:rsidR="0055563A">
        <w:t xml:space="preserve">water, sewer and </w:t>
      </w:r>
      <w:r w:rsidR="00DE7AF2">
        <w:t>trash pickup</w:t>
      </w:r>
      <w:r w:rsidR="0055563A">
        <w:t xml:space="preserve"> services</w:t>
      </w:r>
      <w:r w:rsidR="00F01112">
        <w:t>, building restrictions and insurance</w:t>
      </w:r>
      <w:r w:rsidR="001C066A">
        <w:t>,</w:t>
      </w:r>
      <w:r w:rsidR="00DE7AF2">
        <w:t xml:space="preserve"> and for </w:t>
      </w:r>
      <w:r w:rsidR="00F01112">
        <w:t xml:space="preserve">monthly dues and </w:t>
      </w:r>
      <w:r w:rsidR="00DE7AF2">
        <w:t xml:space="preserve">assessments to fund </w:t>
      </w:r>
      <w:r w:rsidR="00F01112">
        <w:t>Grand Crest’s expenses</w:t>
      </w:r>
      <w:r w:rsidR="00DE7AF2">
        <w:t xml:space="preserve">.  </w:t>
      </w:r>
      <w:r w:rsidR="00F01112">
        <w:t xml:space="preserve">The bylaws also granted shareholders rights of first refusal in transfers of the lots.  The plat was recorded in 1954.  The bylaws were not recorded until 1991.  </w:t>
      </w:r>
    </w:p>
    <w:p w14:paraId="6037ECD9" w14:textId="3ADEC32C" w:rsidR="00912861" w:rsidRDefault="00BF0D2D" w:rsidP="00B76FFF">
      <w:r>
        <w:t xml:space="preserve">Grand Crest filed </w:t>
      </w:r>
      <w:r w:rsidR="003B0E74">
        <w:t>an</w:t>
      </w:r>
      <w:r>
        <w:t xml:space="preserve"> action alleging that </w:t>
      </w:r>
      <w:r w:rsidR="003B0E74">
        <w:t>three shareholders and lot owners, Jef and Beverly</w:t>
      </w:r>
      <w:r>
        <w:t xml:space="preserve"> Stites and O</w:t>
      </w:r>
      <w:r w:rsidR="0015258A">
        <w:t>’</w:t>
      </w:r>
      <w:r>
        <w:t>Connor</w:t>
      </w:r>
      <w:r w:rsidR="003B0E74">
        <w:t xml:space="preserve"> Legacy Home, LLC,</w:t>
      </w:r>
      <w:r>
        <w:t xml:space="preserve"> breached the </w:t>
      </w:r>
      <w:r w:rsidR="003B0E74">
        <w:t xml:space="preserve">restrictive </w:t>
      </w:r>
      <w:r>
        <w:t xml:space="preserve">covenants in the bylaws and refused to pay dues and assessments. </w:t>
      </w:r>
      <w:r w:rsidR="003B0E74">
        <w:t xml:space="preserve"> </w:t>
      </w:r>
      <w:r w:rsidR="004B2D4C">
        <w:t>Defendants had purchased their lots in 1998, 2002 and 2014.  With each lot, they received a stock certificate in Grand Crest</w:t>
      </w:r>
      <w:r w:rsidR="00912861">
        <w:t xml:space="preserve">.  Until the dispute arose, </w:t>
      </w:r>
      <w:r w:rsidR="00B35B57">
        <w:t>defendant</w:t>
      </w:r>
      <w:r w:rsidR="00912861">
        <w:t xml:space="preserve">s paid their dues and assessments and participated in shareholder meetings. </w:t>
      </w:r>
    </w:p>
    <w:p w14:paraId="25EF9799" w14:textId="003F7410" w:rsidR="004B2D4C" w:rsidRDefault="003B0E74" w:rsidP="00B76FFF">
      <w:r>
        <w:t xml:space="preserve">Defendants answered </w:t>
      </w:r>
      <w:r w:rsidR="00912861">
        <w:t xml:space="preserve">Grand Crest’s petition claiming </w:t>
      </w:r>
      <w:r>
        <w:t xml:space="preserve">that the bylaw restrictions do not apply since they were not recorded with the 1954 plat or in the warranty deeds issued to the original lot owners.  </w:t>
      </w:r>
      <w:r w:rsidR="004B2D4C">
        <w:t xml:space="preserve">Since the restrictions were not recorded, the original lot owners took free and clear of the restrictions.  Defendants further argued that the 1991 recording of the bylaws did not apply to them since </w:t>
      </w:r>
      <w:r w:rsidR="00BF0D2D">
        <w:t xml:space="preserve">Grand Crest </w:t>
      </w:r>
      <w:r w:rsidR="004B2D4C">
        <w:t xml:space="preserve">had conveyed its entire interest with the original deeds and could not later burden </w:t>
      </w:r>
      <w:r w:rsidR="00B35B57">
        <w:t>defendant</w:t>
      </w:r>
      <w:r w:rsidR="004B2D4C">
        <w:t xml:space="preserve">s’ lots by a subsequent filing of the bylaw restrictions.  </w:t>
      </w:r>
    </w:p>
    <w:p w14:paraId="2B3C9B7D" w14:textId="408CD66A" w:rsidR="00BF0D2D" w:rsidRDefault="00EC6C80" w:rsidP="00B76FFF">
      <w:r>
        <w:t xml:space="preserve">The Court of Appeals rejected </w:t>
      </w:r>
      <w:r w:rsidR="00B35B57">
        <w:t>defendant</w:t>
      </w:r>
      <w:r>
        <w:t xml:space="preserve">s’ arguments.  It </w:t>
      </w:r>
      <w:r w:rsidR="00E73D28">
        <w:t xml:space="preserve">began its analysis by holding </w:t>
      </w:r>
      <w:r>
        <w:t xml:space="preserve">that the Grand Crest bylaws were duly adopted in the corporation’s 1954 </w:t>
      </w:r>
      <w:r>
        <w:lastRenderedPageBreak/>
        <w:t xml:space="preserve">organization and were binding on its shareholders.  Since the corporation’s organization, the shareholders had recognized the transfer restrictions that gave existing shareholders a right to reject a proposed sale and the right to buy the selling shareholder’s lot.  </w:t>
      </w:r>
      <w:r w:rsidR="00E73D28">
        <w:t xml:space="preserve">As provided in the bylaws, the </w:t>
      </w:r>
      <w:r>
        <w:t xml:space="preserve">shareholders had </w:t>
      </w:r>
      <w:r w:rsidR="00E73D28">
        <w:t xml:space="preserve">paid their monthly dues and assessments to maintain the subdivision.  </w:t>
      </w:r>
    </w:p>
    <w:p w14:paraId="532ECFC0" w14:textId="016CE66F" w:rsidR="00E73D28" w:rsidRDefault="00E73D28" w:rsidP="00B76FFF">
      <w:r>
        <w:t xml:space="preserve">The </w:t>
      </w:r>
      <w:r w:rsidR="00B35B57">
        <w:t>court</w:t>
      </w:r>
      <w:r>
        <w:t xml:space="preserve"> then addressed </w:t>
      </w:r>
      <w:r w:rsidR="00B35B57">
        <w:t>defendant</w:t>
      </w:r>
      <w:r>
        <w:t>s’ argument that the bylaw restrictions were not binding on the original shareholders since the bylaws were not recorded.  Defendants point to the conveyancing statutes, which state that a warranty deed conveys the “whole interest of the grantor”</w:t>
      </w:r>
      <w:r>
        <w:rPr>
          <w:rStyle w:val="FootnoteReference"/>
        </w:rPr>
        <w:footnoteReference w:id="53"/>
      </w:r>
      <w:r>
        <w:t xml:space="preserve"> and the deed conveys “an estate in fee simple . . ., unless limited by express words.”</w:t>
      </w:r>
      <w:r>
        <w:rPr>
          <w:rStyle w:val="FootnoteReference"/>
        </w:rPr>
        <w:footnoteReference w:id="54"/>
      </w:r>
      <w:r>
        <w:t xml:space="preserve">  </w:t>
      </w:r>
      <w:r w:rsidR="00A10437">
        <w:t xml:space="preserve">Since the bylaws were not previously recorded or attached to the original deeds, there could be no limitations.  </w:t>
      </w:r>
    </w:p>
    <w:p w14:paraId="2DDD3836" w14:textId="55897B26" w:rsidR="00A10437" w:rsidRDefault="00A10437" w:rsidP="00B76FFF">
      <w:r>
        <w:t xml:space="preserve">But the </w:t>
      </w:r>
      <w:r w:rsidR="00B35B57">
        <w:t>court</w:t>
      </w:r>
      <w:r>
        <w:t xml:space="preserve"> noted that </w:t>
      </w:r>
      <w:r w:rsidR="00B35B57">
        <w:t>defendant</w:t>
      </w:r>
      <w:r>
        <w:t>s’ request for quiet title is an equitable proceeding</w:t>
      </w:r>
      <w:r w:rsidR="001C066A">
        <w:t>,</w:t>
      </w:r>
      <w:r>
        <w:t xml:space="preserve"> and courts will look beyond the technical requirements of the statutes</w:t>
      </w:r>
      <w:r w:rsidR="001C066A">
        <w:t xml:space="preserve"> when in equity</w:t>
      </w:r>
      <w:r>
        <w:t xml:space="preserve">.  Substantial authority held that restrictions imposed by a common grantor for the mutual benefit of all grantees under </w:t>
      </w:r>
      <w:r w:rsidR="00095962">
        <w:t>a general development plan are enforceable</w:t>
      </w:r>
      <w:r w:rsidR="00D87732">
        <w:t xml:space="preserve"> even when unrecorded</w:t>
      </w:r>
      <w:r w:rsidR="00095962">
        <w:t>.</w:t>
      </w:r>
      <w:r w:rsidR="00095962">
        <w:rPr>
          <w:rStyle w:val="FootnoteReference"/>
        </w:rPr>
        <w:footnoteReference w:id="55"/>
      </w:r>
      <w:r w:rsidR="00095962">
        <w:t xml:space="preserve">  Further, when the original grantees had actual notice of the bylaw restrictions, equity will hold they are bound by that knowledge.</w:t>
      </w:r>
      <w:r w:rsidR="00095962">
        <w:rPr>
          <w:rStyle w:val="FootnoteReference"/>
        </w:rPr>
        <w:footnoteReference w:id="56"/>
      </w:r>
      <w:r w:rsidR="00095962">
        <w:t xml:space="preserve">  </w:t>
      </w:r>
    </w:p>
    <w:p w14:paraId="1960CDAA" w14:textId="0F194EB2" w:rsidR="00095962" w:rsidRDefault="001C28BF" w:rsidP="00B76FFF">
      <w:r>
        <w:t xml:space="preserve">The </w:t>
      </w:r>
      <w:r w:rsidR="00B35B57">
        <w:t>court</w:t>
      </w:r>
      <w:r>
        <w:t xml:space="preserve"> also states that the bylaw restrictions are enforceable under contract law.  The Grand Crest stock certificate had a legend providing that </w:t>
      </w:r>
      <w:r w:rsidR="005225CA">
        <w:t>“’</w:t>
      </w:r>
      <w:r>
        <w:t>an essential part’ of the consideration for the initial sale of these lots wea the purchaser’s agreement to be bound by the Grand Crest bylaws.”</w:t>
      </w:r>
      <w:r w:rsidR="005225CA">
        <w:rPr>
          <w:rStyle w:val="FootnoteReference"/>
        </w:rPr>
        <w:footnoteReference w:id="57"/>
      </w:r>
      <w:r>
        <w:t xml:space="preserve">  And the bylaws provide that they “constitute a binding contract between the corporation and its members.”</w:t>
      </w:r>
      <w:r w:rsidR="005225CA">
        <w:rPr>
          <w:rStyle w:val="FootnoteReference"/>
        </w:rPr>
        <w:footnoteReference w:id="58"/>
      </w:r>
      <w:r>
        <w:t xml:space="preserve"> </w:t>
      </w:r>
      <w:r w:rsidR="00C41484">
        <w:t xml:space="preserve"> The original grantees </w:t>
      </w:r>
      <w:r w:rsidR="00C41484">
        <w:lastRenderedPageBreak/>
        <w:t xml:space="preserve">became shareholders when they purchased their lots.  Regardless of whether the restrictions appear in the chain of title, they were bound by the bylaws. </w:t>
      </w:r>
    </w:p>
    <w:p w14:paraId="4D536D57" w14:textId="1A1F3F57" w:rsidR="001A2CB3" w:rsidRDefault="001A2CB3" w:rsidP="00B76FFF">
      <w:r>
        <w:t xml:space="preserve">If the restrictions bound the original grantees, the estate they conveyed to </w:t>
      </w:r>
      <w:r w:rsidR="00B35B57">
        <w:t>defendant</w:t>
      </w:r>
      <w:r>
        <w:t xml:space="preserve">s would be bound by the same restrictions.  </w:t>
      </w:r>
      <w:r w:rsidR="0055563A">
        <w:t xml:space="preserve">The </w:t>
      </w:r>
      <w:r w:rsidR="00B35B57">
        <w:t>court</w:t>
      </w:r>
      <w:r>
        <w:t xml:space="preserve"> </w:t>
      </w:r>
      <w:r w:rsidR="0055563A">
        <w:t xml:space="preserve">found other reasons why </w:t>
      </w:r>
      <w:r w:rsidR="00B35B57">
        <w:t>defendant</w:t>
      </w:r>
      <w:r w:rsidR="0055563A">
        <w:t xml:space="preserve">s would be bound.  The bylaws were recorded in 1991, which predates the first purchase by </w:t>
      </w:r>
      <w:r w:rsidR="00B35B57">
        <w:t>defendant</w:t>
      </w:r>
      <w:r w:rsidR="0055563A">
        <w:t xml:space="preserve">s.  </w:t>
      </w:r>
      <w:r w:rsidR="009D208D">
        <w:t>Thus,</w:t>
      </w:r>
      <w:r w:rsidR="0055563A">
        <w:t xml:space="preserve"> </w:t>
      </w:r>
      <w:r w:rsidR="00B35B57">
        <w:t>defendant</w:t>
      </w:r>
      <w:r w:rsidR="0055563A">
        <w:t xml:space="preserve">s had constructive notice of the restrictions and were thus bound.  The </w:t>
      </w:r>
      <w:r w:rsidR="00B35B57">
        <w:t>court</w:t>
      </w:r>
      <w:r w:rsidR="0055563A">
        <w:t xml:space="preserve"> also said that </w:t>
      </w:r>
      <w:r w:rsidR="00B35B57">
        <w:t>defendant</w:t>
      </w:r>
      <w:r w:rsidR="0055563A">
        <w:t xml:space="preserve">s were shareholders as well as lot owners.  As shareholders, they were </w:t>
      </w:r>
      <w:r w:rsidR="00BB606E">
        <w:t xml:space="preserve">contractually </w:t>
      </w:r>
      <w:r w:rsidR="0055563A">
        <w:t>bound by the bylaws</w:t>
      </w:r>
      <w:r w:rsidR="00E20C4D">
        <w:t xml:space="preserve"> regardless of whether they had signed the bylaws</w:t>
      </w:r>
      <w:r w:rsidR="0055563A">
        <w:t>.</w:t>
      </w:r>
    </w:p>
    <w:p w14:paraId="544F8308" w14:textId="3CCACF46" w:rsidR="004353C2" w:rsidRPr="00E82FE8" w:rsidRDefault="004353C2" w:rsidP="001E6579">
      <w:pPr>
        <w:pStyle w:val="Heading4"/>
        <w:rPr>
          <w:rFonts w:eastAsia="Times New Roman"/>
        </w:rPr>
      </w:pPr>
      <w:r w:rsidRPr="00E82FE8">
        <w:rPr>
          <w:rFonts w:eastAsia="Times New Roman"/>
        </w:rPr>
        <w:t xml:space="preserve">Delaware </w:t>
      </w:r>
    </w:p>
    <w:p w14:paraId="57564BB3" w14:textId="1A7573D7" w:rsidR="001A4C55" w:rsidRDefault="00A55E66" w:rsidP="001A4C55">
      <w:pPr>
        <w:rPr>
          <w:rFonts w:eastAsia="Times New Roman"/>
        </w:rPr>
      </w:pPr>
      <w:r>
        <w:rPr>
          <w:shd w:val="clear" w:color="auto" w:fill="FAFAFA"/>
        </w:rPr>
        <w:t xml:space="preserve">We see the </w:t>
      </w:r>
      <w:r w:rsidR="001F532C" w:rsidRPr="00E82FE8">
        <w:rPr>
          <w:shd w:val="clear" w:color="auto" w:fill="FAFAFA"/>
        </w:rPr>
        <w:t xml:space="preserve">drive for stronger corporate governance </w:t>
      </w:r>
      <w:r>
        <w:rPr>
          <w:shd w:val="clear" w:color="auto" w:fill="FAFAFA"/>
        </w:rPr>
        <w:t xml:space="preserve">in the decisions of the </w:t>
      </w:r>
      <w:r w:rsidR="001F532C" w:rsidRPr="00E82FE8">
        <w:rPr>
          <w:shd w:val="clear" w:color="auto" w:fill="FAFAFA"/>
        </w:rPr>
        <w:t xml:space="preserve">Delaware courts, </w:t>
      </w:r>
      <w:r w:rsidR="001A6C64">
        <w:rPr>
          <w:shd w:val="clear" w:color="auto" w:fill="FAFAFA"/>
        </w:rPr>
        <w:t xml:space="preserve">as for example </w:t>
      </w:r>
      <w:r w:rsidR="001F532C" w:rsidRPr="00E82FE8">
        <w:rPr>
          <w:shd w:val="clear" w:color="auto" w:fill="FAFAFA"/>
        </w:rPr>
        <w:t xml:space="preserve">in the </w:t>
      </w:r>
      <w:r w:rsidR="001F532C" w:rsidRPr="00E82FE8">
        <w:rPr>
          <w:i/>
          <w:iCs/>
          <w:shd w:val="clear" w:color="auto" w:fill="FAFAFA"/>
        </w:rPr>
        <w:t>Caremark</w:t>
      </w:r>
      <w:r w:rsidR="001F532C" w:rsidRPr="00E82FE8">
        <w:rPr>
          <w:shd w:val="clear" w:color="auto" w:fill="FAFAFA"/>
        </w:rPr>
        <w:t xml:space="preserve"> decision</w:t>
      </w:r>
      <w:r w:rsidR="001F532C" w:rsidRPr="00E82FE8">
        <w:rPr>
          <w:rStyle w:val="FootnoteReference"/>
          <w:shd w:val="clear" w:color="auto" w:fill="FAFAFA"/>
        </w:rPr>
        <w:footnoteReference w:id="59"/>
      </w:r>
      <w:r w:rsidR="001F532C" w:rsidRPr="00E82FE8">
        <w:rPr>
          <w:shd w:val="clear" w:color="auto" w:fill="FAFAFA"/>
        </w:rPr>
        <w:t xml:space="preserve"> and its progeny, which expanded director responsibilities. </w:t>
      </w:r>
      <w:r w:rsidR="001A4C55">
        <w:rPr>
          <w:rFonts w:eastAsia="Times New Roman"/>
        </w:rPr>
        <w:t xml:space="preserve">In </w:t>
      </w:r>
      <w:r w:rsidR="001A4C55">
        <w:rPr>
          <w:rFonts w:ascii="TimesNewRomanPS-ItalicMT" w:eastAsia="Times New Roman" w:hAnsi="TimesNewRomanPS-ItalicMT" w:cs="TimesNewRomanPS-ItalicMT"/>
          <w:i/>
          <w:iCs/>
        </w:rPr>
        <w:t>In re Multiplan Corp. S’holders Litig.</w:t>
      </w:r>
      <w:r w:rsidR="001A4C55">
        <w:rPr>
          <w:rFonts w:eastAsia="Times New Roman"/>
        </w:rPr>
        <w:t>,</w:t>
      </w:r>
      <w:r w:rsidR="0015258A">
        <w:rPr>
          <w:rStyle w:val="FootnoteReference"/>
          <w:rFonts w:eastAsia="Times New Roman"/>
        </w:rPr>
        <w:footnoteReference w:id="60"/>
      </w:r>
      <w:r w:rsidR="001A4C55">
        <w:rPr>
          <w:rFonts w:eastAsia="Times New Roman"/>
        </w:rPr>
        <w:t xml:space="preserve"> the Delaware Court of Chancery addressed for the first time </w:t>
      </w:r>
      <w:r w:rsidR="00EB5F05">
        <w:rPr>
          <w:rFonts w:eastAsia="Times New Roman"/>
        </w:rPr>
        <w:t xml:space="preserve">how </w:t>
      </w:r>
      <w:r w:rsidR="001A4C55">
        <w:rPr>
          <w:rFonts w:eastAsia="Times New Roman"/>
        </w:rPr>
        <w:t>fiduciary dut</w:t>
      </w:r>
      <w:r w:rsidR="00D513F5">
        <w:rPr>
          <w:rFonts w:eastAsia="Times New Roman"/>
        </w:rPr>
        <w:t>ies</w:t>
      </w:r>
      <w:r w:rsidR="001A4C55">
        <w:rPr>
          <w:rFonts w:eastAsia="Times New Roman"/>
        </w:rPr>
        <w:t xml:space="preserve"> </w:t>
      </w:r>
      <w:r w:rsidR="00EB5F05">
        <w:rPr>
          <w:rFonts w:eastAsia="Times New Roman"/>
        </w:rPr>
        <w:t xml:space="preserve">would </w:t>
      </w:r>
      <w:r w:rsidR="001A4C55">
        <w:rPr>
          <w:rFonts w:eastAsia="Times New Roman"/>
        </w:rPr>
        <w:t>apply to special purpose acquisition compan</w:t>
      </w:r>
      <w:r w:rsidR="00EB5F05">
        <w:rPr>
          <w:rFonts w:eastAsia="Times New Roman"/>
        </w:rPr>
        <w:t>ies</w:t>
      </w:r>
      <w:r w:rsidR="001A4C55">
        <w:rPr>
          <w:rFonts w:eastAsia="Times New Roman"/>
        </w:rPr>
        <w:t xml:space="preserve"> </w:t>
      </w:r>
      <w:r w:rsidR="00EB5F05">
        <w:rPr>
          <w:rFonts w:eastAsia="Times New Roman"/>
        </w:rPr>
        <w:t xml:space="preserve">or </w:t>
      </w:r>
      <w:r w:rsidR="001A4C55">
        <w:rPr>
          <w:rFonts w:eastAsia="Times New Roman"/>
        </w:rPr>
        <w:t>SPAC</w:t>
      </w:r>
      <w:r w:rsidR="00EB5F05">
        <w:rPr>
          <w:rFonts w:eastAsia="Times New Roman"/>
        </w:rPr>
        <w:t>s</w:t>
      </w:r>
      <w:r w:rsidR="001A4C55">
        <w:rPr>
          <w:rFonts w:eastAsia="Times New Roman"/>
        </w:rPr>
        <w:t>.</w:t>
      </w:r>
      <w:r w:rsidR="00EB5F05">
        <w:rPr>
          <w:rFonts w:eastAsia="Times New Roman"/>
        </w:rPr>
        <w:t xml:space="preserve">  SPACs are shell companies formed by a lead investor, which conduct an initial public offering and commit to use those proceeds to acquire an operating company.  </w:t>
      </w:r>
    </w:p>
    <w:p w14:paraId="5E40D908" w14:textId="1818F9F4" w:rsidR="00EB5F05" w:rsidRDefault="00EB5F05" w:rsidP="001A4C55">
      <w:pPr>
        <w:rPr>
          <w:rFonts w:eastAsia="Times New Roman"/>
        </w:rPr>
      </w:pPr>
      <w:r>
        <w:rPr>
          <w:rFonts w:eastAsia="Times New Roman"/>
        </w:rPr>
        <w:t xml:space="preserve">The case is an instructive application of fiduciary principles.  The court found that the founding investor was conflicted since he had paid little for his shares while the IPO shareholders had paid fair value.  </w:t>
      </w:r>
      <w:r w:rsidR="00524F2B">
        <w:rPr>
          <w:rFonts w:eastAsia="Times New Roman"/>
        </w:rPr>
        <w:t xml:space="preserve">In other words, the IPO shareholders needed more value in the acquisition than what they had paid for their stock.  The founding investor would make money even with a bad acquisition.  The </w:t>
      </w:r>
      <w:r>
        <w:rPr>
          <w:rFonts w:eastAsia="Times New Roman"/>
        </w:rPr>
        <w:t xml:space="preserve">difference meant that the entire fairness standard would apply to the acquisition.  The court also held that the shareholder claims were direct, not derivative.  </w:t>
      </w:r>
      <w:r w:rsidR="00524F2B">
        <w:rPr>
          <w:rFonts w:eastAsia="Times New Roman"/>
        </w:rPr>
        <w:t xml:space="preserve">That meant that the shareholders were not required to make demand on the board for action, </w:t>
      </w:r>
      <w:r w:rsidR="00D513F5">
        <w:rPr>
          <w:rFonts w:eastAsia="Times New Roman"/>
        </w:rPr>
        <w:t xml:space="preserve">which </w:t>
      </w:r>
      <w:r w:rsidR="00524F2B">
        <w:rPr>
          <w:rFonts w:eastAsia="Times New Roman"/>
        </w:rPr>
        <w:t>avoid</w:t>
      </w:r>
      <w:r w:rsidR="00D513F5">
        <w:rPr>
          <w:rFonts w:eastAsia="Times New Roman"/>
        </w:rPr>
        <w:t>s</w:t>
      </w:r>
      <w:r w:rsidR="00524F2B">
        <w:rPr>
          <w:rFonts w:eastAsia="Times New Roman"/>
        </w:rPr>
        <w:t xml:space="preserve"> a major procedural hurdle.  </w:t>
      </w:r>
    </w:p>
    <w:p w14:paraId="591F0B7F" w14:textId="68632BBC" w:rsidR="00E8377F" w:rsidRDefault="008679A5" w:rsidP="00457365">
      <w:pPr>
        <w:rPr>
          <w:szCs w:val="24"/>
          <w:shd w:val="clear" w:color="auto" w:fill="FFFFFF"/>
        </w:rPr>
      </w:pPr>
      <w:r w:rsidRPr="00457365">
        <w:rPr>
          <w:rStyle w:val="Emphasis"/>
          <w:color w:val="000000"/>
          <w:szCs w:val="24"/>
          <w:shd w:val="clear" w:color="auto" w:fill="FFFFFF"/>
        </w:rPr>
        <w:lastRenderedPageBreak/>
        <w:t>Manti Holdings</w:t>
      </w:r>
      <w:r w:rsidR="0015258A" w:rsidRPr="0015258A">
        <w:rPr>
          <w:i/>
          <w:iCs/>
          <w:shd w:val="clear" w:color="auto" w:fill="FFFFFF"/>
        </w:rPr>
        <w:t>, LLC v. The Carlyle Group Inc</w:t>
      </w:r>
      <w:r w:rsidR="0015258A">
        <w:rPr>
          <w:i/>
          <w:iCs/>
          <w:shd w:val="clear" w:color="auto" w:fill="FFFFFF"/>
        </w:rPr>
        <w:t>.</w:t>
      </w:r>
      <w:r w:rsidRPr="0015258A">
        <w:rPr>
          <w:rStyle w:val="FootnoteReference"/>
          <w:szCs w:val="16"/>
          <w:shd w:val="clear" w:color="auto" w:fill="FFFFFF"/>
        </w:rPr>
        <w:footnoteReference w:id="61"/>
      </w:r>
      <w:r w:rsidRPr="00457365">
        <w:rPr>
          <w:szCs w:val="24"/>
          <w:shd w:val="clear" w:color="auto" w:fill="FFFFFF"/>
        </w:rPr>
        <w:t xml:space="preserve"> </w:t>
      </w:r>
      <w:r w:rsidR="00524F2B">
        <w:rPr>
          <w:szCs w:val="24"/>
          <w:shd w:val="clear" w:color="auto" w:fill="FFFFFF"/>
        </w:rPr>
        <w:t xml:space="preserve">also deals with fiduciary duties and the proper standard of review.  A companion case deals with contractual waivers of those duties.  Plaintiffs were minority investors in a company with </w:t>
      </w:r>
      <w:r w:rsidR="00E8377F">
        <w:rPr>
          <w:szCs w:val="24"/>
          <w:shd w:val="clear" w:color="auto" w:fill="FFFFFF"/>
        </w:rPr>
        <w:t xml:space="preserve">the </w:t>
      </w:r>
      <w:r w:rsidR="00524F2B">
        <w:rPr>
          <w:szCs w:val="24"/>
          <w:shd w:val="clear" w:color="auto" w:fill="FFFFFF"/>
        </w:rPr>
        <w:t xml:space="preserve">private equity group, Carlyle.  </w:t>
      </w:r>
      <w:r w:rsidR="00E8377F">
        <w:rPr>
          <w:szCs w:val="24"/>
          <w:shd w:val="clear" w:color="auto" w:fill="FFFFFF"/>
        </w:rPr>
        <w:t xml:space="preserve">Plaintiffs claimed Carlyle rushed to sell the company to secure a return on its preferred stock.  If the sale </w:t>
      </w:r>
      <w:r w:rsidR="00226B5B">
        <w:rPr>
          <w:szCs w:val="24"/>
          <w:shd w:val="clear" w:color="auto" w:fill="FFFFFF"/>
        </w:rPr>
        <w:t xml:space="preserve">had been </w:t>
      </w:r>
      <w:r w:rsidR="00E8377F">
        <w:rPr>
          <w:szCs w:val="24"/>
          <w:shd w:val="clear" w:color="auto" w:fill="FFFFFF"/>
        </w:rPr>
        <w:t xml:space="preserve">postponed, the company would have realized a higher price, which would have benefited the common stockholders.  </w:t>
      </w:r>
    </w:p>
    <w:p w14:paraId="26F09F4D" w14:textId="570B78AA" w:rsidR="00D205E6" w:rsidRDefault="00E8377F" w:rsidP="00457365">
      <w:pPr>
        <w:rPr>
          <w:szCs w:val="24"/>
          <w:shd w:val="clear" w:color="auto" w:fill="FFFFFF"/>
        </w:rPr>
      </w:pPr>
      <w:r>
        <w:rPr>
          <w:szCs w:val="24"/>
          <w:shd w:val="clear" w:color="auto" w:fill="FFFFFF"/>
        </w:rPr>
        <w:t xml:space="preserve">The court held that Carlyle was conflicted.  The quick sale did not affect it as it would the common stockholders.  The Carlyle directors who approved the sale were not independent.  The board had not appointed a special committee or taken other steps to protect the common stockholders.  The burden of proof shifted to the defendants and the entire fairness standard would apply. </w:t>
      </w:r>
      <w:r w:rsidR="00602C4E">
        <w:rPr>
          <w:szCs w:val="24"/>
          <w:shd w:val="clear" w:color="auto" w:fill="FFFFFF"/>
        </w:rPr>
        <w:t xml:space="preserve"> Since evidence indicated that a delay could have resulted in a higher sale price, Carlyle could not meet the standard. </w:t>
      </w:r>
    </w:p>
    <w:p w14:paraId="0095253F" w14:textId="3D5DDC66" w:rsidR="00602C4E" w:rsidRDefault="00602C4E" w:rsidP="00127A43">
      <w:pPr>
        <w:rPr>
          <w:szCs w:val="24"/>
          <w:shd w:val="clear" w:color="auto" w:fill="FFFFFF"/>
        </w:rPr>
      </w:pPr>
      <w:r>
        <w:rPr>
          <w:rFonts w:eastAsia="Times New Roman"/>
        </w:rPr>
        <w:t xml:space="preserve">Carlyle also argued that the stockholder agreement between the parties fixed the sales process and the fiduciary duties were inapplicable.  Plaintiffs had waived their right to complain.  </w:t>
      </w:r>
      <w:r w:rsidRPr="001A6C64">
        <w:rPr>
          <w:rFonts w:eastAsia="Times New Roman"/>
        </w:rPr>
        <w:t xml:space="preserve">The </w:t>
      </w:r>
      <w:r w:rsidR="00226B5B">
        <w:rPr>
          <w:rFonts w:eastAsia="Times New Roman"/>
        </w:rPr>
        <w:t>s</w:t>
      </w:r>
      <w:r w:rsidRPr="001A6C64">
        <w:rPr>
          <w:rFonts w:eastAsia="Times New Roman"/>
        </w:rPr>
        <w:t xml:space="preserve">tockholder </w:t>
      </w:r>
      <w:r w:rsidR="00226B5B">
        <w:rPr>
          <w:rFonts w:eastAsia="Times New Roman"/>
        </w:rPr>
        <w:t>a</w:t>
      </w:r>
      <w:r w:rsidRPr="001A6C64">
        <w:rPr>
          <w:rFonts w:eastAsia="Times New Roman"/>
        </w:rPr>
        <w:t>greement contain</w:t>
      </w:r>
      <w:r>
        <w:rPr>
          <w:rFonts w:eastAsia="Times New Roman"/>
        </w:rPr>
        <w:t>ed</w:t>
      </w:r>
      <w:r w:rsidRPr="001A6C64">
        <w:rPr>
          <w:rFonts w:eastAsia="Times New Roman"/>
        </w:rPr>
        <w:t xml:space="preserve"> a “drag along” provision that require</w:t>
      </w:r>
      <w:r>
        <w:rPr>
          <w:rFonts w:eastAsia="Times New Roman"/>
        </w:rPr>
        <w:t>d</w:t>
      </w:r>
      <w:r w:rsidRPr="001A6C64">
        <w:rPr>
          <w:rFonts w:eastAsia="Times New Roman"/>
        </w:rPr>
        <w:t xml:space="preserve"> </w:t>
      </w:r>
      <w:r>
        <w:rPr>
          <w:rFonts w:eastAsia="Times New Roman"/>
        </w:rPr>
        <w:t xml:space="preserve">the minority stockholders </w:t>
      </w:r>
      <w:r w:rsidRPr="001A6C64">
        <w:rPr>
          <w:rFonts w:eastAsia="Times New Roman"/>
        </w:rPr>
        <w:t xml:space="preserve">to </w:t>
      </w:r>
      <w:r w:rsidR="00226B5B">
        <w:rPr>
          <w:rFonts w:eastAsia="Times New Roman"/>
        </w:rPr>
        <w:t xml:space="preserve">sell </w:t>
      </w:r>
      <w:r w:rsidRPr="001A6C64">
        <w:rPr>
          <w:rFonts w:eastAsia="Times New Roman"/>
        </w:rPr>
        <w:t xml:space="preserve">if the sale </w:t>
      </w:r>
      <w:r w:rsidR="00226B5B">
        <w:rPr>
          <w:rFonts w:eastAsia="Times New Roman"/>
        </w:rPr>
        <w:t xml:space="preserve">were </w:t>
      </w:r>
      <w:r w:rsidRPr="001A6C64">
        <w:rPr>
          <w:rFonts w:eastAsia="Times New Roman"/>
        </w:rPr>
        <w:t xml:space="preserve">approved by the board and the holders of </w:t>
      </w:r>
      <w:r w:rsidR="00127A43">
        <w:rPr>
          <w:rFonts w:eastAsia="Times New Roman"/>
        </w:rPr>
        <w:t xml:space="preserve">a majority of the </w:t>
      </w:r>
      <w:r w:rsidRPr="001A6C64">
        <w:rPr>
          <w:rFonts w:eastAsia="Times New Roman"/>
        </w:rPr>
        <w:t>outstanding shares, which Carlyle held</w:t>
      </w:r>
      <w:r w:rsidR="00127A43">
        <w:rPr>
          <w:rFonts w:eastAsia="Times New Roman"/>
        </w:rPr>
        <w:t>.</w:t>
      </w:r>
      <w:r w:rsidR="007959FF">
        <w:rPr>
          <w:rStyle w:val="FootnoteReference"/>
          <w:rFonts w:eastAsia="Times New Roman"/>
        </w:rPr>
        <w:footnoteReference w:id="62"/>
      </w:r>
    </w:p>
    <w:p w14:paraId="4C50109A" w14:textId="599A41C6" w:rsidR="00E8377F" w:rsidRPr="006D77B9" w:rsidRDefault="0064297E" w:rsidP="0064297E">
      <w:r>
        <w:t xml:space="preserve">The court examined the “drag along” provision, in which the stockholders agreed to (a) vote their shares in favor of the transaction, (b) refrain from exercising appraisal rights, and (c) execute certain transaction documents.  While there was language that stockholders would </w:t>
      </w:r>
      <w:r w:rsidR="006D77B9">
        <w:t xml:space="preserve">consent and </w:t>
      </w:r>
      <w:r>
        <w:t>“raise no objections”</w:t>
      </w:r>
      <w:r w:rsidR="006D77B9">
        <w:t xml:space="preserve">, the </w:t>
      </w:r>
      <w:r w:rsidR="00B35B57">
        <w:t>court</w:t>
      </w:r>
      <w:r>
        <w:t xml:space="preserve"> </w:t>
      </w:r>
      <w:r w:rsidR="006D77B9">
        <w:t xml:space="preserve">held that the language was not explicit enough to constitute a knowing waiver of </w:t>
      </w:r>
      <w:r w:rsidR="006D77B9" w:rsidRPr="006D77B9">
        <w:t xml:space="preserve">fiduciary duties.  To be effective, waivers must be </w:t>
      </w:r>
      <w:r w:rsidR="006D77B9">
        <w:t>“</w:t>
      </w:r>
      <w:r w:rsidR="006D77B9" w:rsidRPr="006D77B9">
        <w:t>clear and unequivocal</w:t>
      </w:r>
      <w:r w:rsidR="006D77B9">
        <w:t>”</w:t>
      </w:r>
      <w:r w:rsidR="006D77B9" w:rsidRPr="006D77B9">
        <w:t xml:space="preserve"> and the intent to eliminate fiduciary duties must be </w:t>
      </w:r>
      <w:r w:rsidR="006D77B9">
        <w:t>“</w:t>
      </w:r>
      <w:r w:rsidR="006D77B9" w:rsidRPr="006D77B9">
        <w:t>plain and unambiguous</w:t>
      </w:r>
      <w:r w:rsidR="006D77B9">
        <w:t>”</w:t>
      </w:r>
      <w:r w:rsidR="006D77B9" w:rsidRPr="006D77B9">
        <w:t xml:space="preserve"> in the document.  </w:t>
      </w:r>
    </w:p>
    <w:p w14:paraId="769D3941" w14:textId="7261D6D2" w:rsidR="00331B18" w:rsidRPr="00E82FE8" w:rsidRDefault="00331B18" w:rsidP="00A6041D">
      <w:pPr>
        <w:pStyle w:val="Heading3"/>
        <w:rPr>
          <w:rFonts w:eastAsia="Times New Roman"/>
        </w:rPr>
      </w:pPr>
      <w:r w:rsidRPr="00E82FE8">
        <w:rPr>
          <w:rFonts w:eastAsia="Times New Roman"/>
        </w:rPr>
        <w:lastRenderedPageBreak/>
        <w:t>Conclusion</w:t>
      </w:r>
    </w:p>
    <w:p w14:paraId="68E0527E" w14:textId="77777777" w:rsidR="00090872" w:rsidRDefault="00421023" w:rsidP="00331B18">
      <w:pPr>
        <w:overflowPunct w:val="0"/>
        <w:textAlignment w:val="baseline"/>
        <w:rPr>
          <w:rFonts w:eastAsia="Times New Roman"/>
        </w:rPr>
      </w:pPr>
      <w:r w:rsidRPr="00E82FE8">
        <w:rPr>
          <w:rFonts w:eastAsia="Times New Roman"/>
        </w:rPr>
        <w:t xml:space="preserve">This paper’s premise is that our business entities </w:t>
      </w:r>
      <w:r w:rsidR="008B422B" w:rsidRPr="00E82FE8">
        <w:rPr>
          <w:rFonts w:eastAsia="Times New Roman"/>
        </w:rPr>
        <w:t xml:space="preserve">are trending </w:t>
      </w:r>
      <w:r w:rsidRPr="00E82FE8">
        <w:rPr>
          <w:rFonts w:eastAsia="Times New Roman"/>
        </w:rPr>
        <w:t xml:space="preserve">toward </w:t>
      </w:r>
      <w:r w:rsidR="004D1F8D" w:rsidRPr="00E82FE8">
        <w:rPr>
          <w:rFonts w:eastAsia="Times New Roman"/>
        </w:rPr>
        <w:t xml:space="preserve">greater </w:t>
      </w:r>
      <w:r w:rsidR="000B5FC2" w:rsidRPr="00E82FE8">
        <w:rPr>
          <w:shd w:val="clear" w:color="auto" w:fill="FFFFFF"/>
        </w:rPr>
        <w:t>corporate social responsibility</w:t>
      </w:r>
      <w:r w:rsidR="004D1F8D" w:rsidRPr="00E82FE8">
        <w:rPr>
          <w:rFonts w:eastAsia="Times New Roman"/>
        </w:rPr>
        <w:t xml:space="preserve">.  The trend is long-standing.  It is evidenced </w:t>
      </w:r>
      <w:r w:rsidR="00977378" w:rsidRPr="00E82FE8">
        <w:rPr>
          <w:rFonts w:eastAsia="Times New Roman"/>
        </w:rPr>
        <w:t>in</w:t>
      </w:r>
      <w:r w:rsidR="004D1F8D" w:rsidRPr="00E82FE8">
        <w:rPr>
          <w:rFonts w:eastAsia="Times New Roman"/>
        </w:rPr>
        <w:t xml:space="preserve"> </w:t>
      </w:r>
      <w:r w:rsidR="008B422B" w:rsidRPr="00E82FE8">
        <w:rPr>
          <w:rFonts w:eastAsia="Times New Roman"/>
        </w:rPr>
        <w:t xml:space="preserve">Federal and state laws, </w:t>
      </w:r>
      <w:r w:rsidR="00AC7561" w:rsidRPr="00E82FE8">
        <w:rPr>
          <w:rFonts w:eastAsia="Times New Roman"/>
        </w:rPr>
        <w:t xml:space="preserve">by judicial decisions and, perhaps most importantly, </w:t>
      </w:r>
      <w:r w:rsidR="00977378" w:rsidRPr="00E82FE8">
        <w:rPr>
          <w:rFonts w:eastAsia="Times New Roman"/>
        </w:rPr>
        <w:t xml:space="preserve">in </w:t>
      </w:r>
      <w:r w:rsidR="00AC7561" w:rsidRPr="00E82FE8">
        <w:rPr>
          <w:rFonts w:eastAsia="Times New Roman"/>
        </w:rPr>
        <w:t>the marketplace</w:t>
      </w:r>
      <w:r w:rsidR="004D1F8D" w:rsidRPr="00E82FE8">
        <w:rPr>
          <w:rFonts w:eastAsia="Times New Roman"/>
        </w:rPr>
        <w:t xml:space="preserve">.  </w:t>
      </w:r>
      <w:r w:rsidR="00AC7561" w:rsidRPr="00E82FE8">
        <w:rPr>
          <w:rFonts w:eastAsia="Times New Roman"/>
        </w:rPr>
        <w:t xml:space="preserve">And the </w:t>
      </w:r>
      <w:r w:rsidR="004D1F8D" w:rsidRPr="00E82FE8">
        <w:rPr>
          <w:rFonts w:eastAsia="Times New Roman"/>
        </w:rPr>
        <w:t>trend is accelerating.</w:t>
      </w:r>
    </w:p>
    <w:p w14:paraId="40FA9CCF" w14:textId="51D1636E" w:rsidR="004D1F8D" w:rsidRPr="00E82FE8" w:rsidRDefault="00C17319" w:rsidP="00331B18">
      <w:pPr>
        <w:overflowPunct w:val="0"/>
        <w:textAlignment w:val="baseline"/>
        <w:rPr>
          <w:rFonts w:eastAsia="Times New Roman"/>
        </w:rPr>
      </w:pPr>
      <w:r w:rsidRPr="00E82FE8">
        <w:rPr>
          <w:rFonts w:eastAsia="Times New Roman"/>
        </w:rPr>
        <w:t xml:space="preserve">As lawyers, we are uniquely positioned to guide our business clients and to encourage greater </w:t>
      </w:r>
      <w:r w:rsidRPr="00E82FE8">
        <w:rPr>
          <w:shd w:val="clear" w:color="auto" w:fill="FFFFFF"/>
        </w:rPr>
        <w:t>corporate social responsibility</w:t>
      </w:r>
      <w:r w:rsidRPr="00E82FE8">
        <w:t xml:space="preserve">.  </w:t>
      </w:r>
      <w:r w:rsidR="00033B6F" w:rsidRPr="00E82FE8">
        <w:t xml:space="preserve">With our guidance, more </w:t>
      </w:r>
      <w:r w:rsidR="004D1F8D" w:rsidRPr="00E82FE8">
        <w:rPr>
          <w:rFonts w:eastAsia="Times New Roman"/>
        </w:rPr>
        <w:t>business</w:t>
      </w:r>
      <w:r w:rsidR="008B422B" w:rsidRPr="00E82FE8">
        <w:rPr>
          <w:rFonts w:eastAsia="Times New Roman"/>
        </w:rPr>
        <w:t xml:space="preserve">es might </w:t>
      </w:r>
      <w:r w:rsidR="004D1F8D" w:rsidRPr="00E82FE8">
        <w:rPr>
          <w:rFonts w:eastAsia="Times New Roman"/>
        </w:rPr>
        <w:t xml:space="preserve">adopt a </w:t>
      </w:r>
      <w:r w:rsidR="00AC7561" w:rsidRPr="00E82FE8">
        <w:rPr>
          <w:rFonts w:eastAsia="Times New Roman"/>
        </w:rPr>
        <w:t xml:space="preserve">expanded </w:t>
      </w:r>
      <w:r w:rsidR="004D1F8D" w:rsidRPr="00E82FE8">
        <w:rPr>
          <w:rFonts w:eastAsia="Times New Roman"/>
        </w:rPr>
        <w:t xml:space="preserve">role in improving the lives of their employees, their customers and </w:t>
      </w:r>
      <w:r w:rsidR="000B5FC2" w:rsidRPr="00E82FE8">
        <w:rPr>
          <w:rFonts w:eastAsia="Times New Roman"/>
        </w:rPr>
        <w:t xml:space="preserve">people within their </w:t>
      </w:r>
      <w:r w:rsidR="004D1F8D" w:rsidRPr="00E82FE8">
        <w:rPr>
          <w:rFonts w:eastAsia="Times New Roman"/>
        </w:rPr>
        <w:t>communities</w:t>
      </w:r>
      <w:r w:rsidR="000B5FC2" w:rsidRPr="00E82FE8">
        <w:rPr>
          <w:rFonts w:eastAsia="Times New Roman"/>
        </w:rPr>
        <w:t xml:space="preserve">, if </w:t>
      </w:r>
      <w:r w:rsidR="004D1F8D" w:rsidRPr="00E82FE8">
        <w:rPr>
          <w:rFonts w:eastAsia="Times New Roman"/>
        </w:rPr>
        <w:t xml:space="preserve">not the </w:t>
      </w:r>
      <w:r w:rsidR="00B12933" w:rsidRPr="00E82FE8">
        <w:rPr>
          <w:rFonts w:eastAsia="Times New Roman"/>
        </w:rPr>
        <w:t xml:space="preserve">nation and the </w:t>
      </w:r>
      <w:r w:rsidR="004D1F8D" w:rsidRPr="00E82FE8">
        <w:rPr>
          <w:rFonts w:eastAsia="Times New Roman"/>
        </w:rPr>
        <w:t xml:space="preserve">world.  </w:t>
      </w:r>
      <w:r w:rsidR="008B422B" w:rsidRPr="00E82FE8">
        <w:rPr>
          <w:rFonts w:eastAsia="Times New Roman"/>
        </w:rPr>
        <w:t>B</w:t>
      </w:r>
      <w:r w:rsidR="00B12933" w:rsidRPr="00E82FE8">
        <w:rPr>
          <w:rFonts w:eastAsia="Times New Roman"/>
        </w:rPr>
        <w:t xml:space="preserve">usiness </w:t>
      </w:r>
      <w:r w:rsidR="00D10D0A" w:rsidRPr="00E82FE8">
        <w:rPr>
          <w:rFonts w:eastAsia="Times New Roman"/>
        </w:rPr>
        <w:t xml:space="preserve">owners will, in the long-term, benefit from </w:t>
      </w:r>
      <w:r w:rsidR="00B12933" w:rsidRPr="00E82FE8">
        <w:rPr>
          <w:rFonts w:eastAsia="Times New Roman"/>
        </w:rPr>
        <w:t>building better relationships</w:t>
      </w:r>
      <w:r w:rsidR="00D10D0A" w:rsidRPr="00E82FE8">
        <w:rPr>
          <w:rFonts w:eastAsia="Times New Roman"/>
        </w:rPr>
        <w:t xml:space="preserve">. </w:t>
      </w:r>
    </w:p>
    <w:p w14:paraId="08AA7762" w14:textId="79206CB3" w:rsidR="00331B18" w:rsidRPr="00E82FE8" w:rsidRDefault="008B422B" w:rsidP="00331B18">
      <w:pPr>
        <w:overflowPunct w:val="0"/>
        <w:textAlignment w:val="baseline"/>
        <w:rPr>
          <w:rFonts w:eastAsia="Times New Roman"/>
        </w:rPr>
      </w:pPr>
      <w:r w:rsidRPr="00E82FE8">
        <w:rPr>
          <w:rFonts w:eastAsia="Times New Roman"/>
        </w:rPr>
        <w:t>G</w:t>
      </w:r>
      <w:r w:rsidR="00C17319" w:rsidRPr="00E82FE8">
        <w:rPr>
          <w:rFonts w:eastAsia="Times New Roman"/>
        </w:rPr>
        <w:t xml:space="preserve">reater </w:t>
      </w:r>
      <w:r w:rsidR="00C17319" w:rsidRPr="00E82FE8">
        <w:rPr>
          <w:shd w:val="clear" w:color="auto" w:fill="FFFFFF"/>
        </w:rPr>
        <w:t>corporate social responsibility</w:t>
      </w:r>
      <w:r w:rsidR="003545EB" w:rsidRPr="00E82FE8">
        <w:t xml:space="preserve"> makes for a better marketplace.</w:t>
      </w:r>
      <w:r w:rsidR="003545EB" w:rsidRPr="00E82FE8">
        <w:rPr>
          <w:rStyle w:val="FootnoteReference"/>
        </w:rPr>
        <w:footnoteReference w:id="63"/>
      </w:r>
      <w:r w:rsidR="003545EB" w:rsidRPr="00E82FE8">
        <w:t xml:space="preserve">  Markets are more efficient where transparency and trust are found, and transactional risk decreases. </w:t>
      </w:r>
      <w:r w:rsidR="003545EB" w:rsidRPr="00E82FE8">
        <w:rPr>
          <w:rFonts w:eastAsia="Times New Roman"/>
        </w:rPr>
        <w:t xml:space="preserve"> </w:t>
      </w:r>
      <w:r w:rsidR="00731948" w:rsidRPr="00E82FE8">
        <w:rPr>
          <w:rFonts w:eastAsia="Times New Roman"/>
        </w:rPr>
        <w:t xml:space="preserve">The resulting economic benefits help us all. </w:t>
      </w:r>
    </w:p>
    <w:p w14:paraId="0EB2AF2A" w14:textId="77777777" w:rsidR="00562A49" w:rsidRPr="00E82FE8" w:rsidRDefault="00562A49" w:rsidP="00FB6676">
      <w:pPr>
        <w:overflowPunct w:val="0"/>
        <w:ind w:right="720"/>
        <w:jc w:val="right"/>
        <w:textAlignment w:val="baseline"/>
        <w:rPr>
          <w:rFonts w:eastAsia="Times New Roman"/>
        </w:rPr>
      </w:pPr>
    </w:p>
    <w:p w14:paraId="77F69973" w14:textId="09266E7A" w:rsidR="00331B18" w:rsidRPr="00E82FE8" w:rsidRDefault="00331B18" w:rsidP="00FB6676">
      <w:pPr>
        <w:overflowPunct w:val="0"/>
        <w:ind w:right="720"/>
        <w:jc w:val="right"/>
        <w:textAlignment w:val="baseline"/>
        <w:rPr>
          <w:rFonts w:eastAsia="Times New Roman"/>
        </w:rPr>
      </w:pPr>
      <w:r w:rsidRPr="00E82FE8">
        <w:rPr>
          <w:rFonts w:eastAsia="Times New Roman"/>
        </w:rPr>
        <w:t>Gary W. Derrick</w:t>
      </w:r>
      <w:r w:rsidRPr="00E82FE8">
        <w:rPr>
          <w:rFonts w:eastAsia="Times New Roman"/>
        </w:rPr>
        <w:br/>
      </w:r>
      <w:r w:rsidR="008679A5" w:rsidRPr="00E82FE8">
        <w:rPr>
          <w:rFonts w:eastAsia="Times New Roman"/>
        </w:rPr>
        <w:t xml:space="preserve">November </w:t>
      </w:r>
      <w:r w:rsidR="000C1E6A">
        <w:rPr>
          <w:rFonts w:eastAsia="Times New Roman"/>
        </w:rPr>
        <w:t>7</w:t>
      </w:r>
      <w:r w:rsidR="008679A5" w:rsidRPr="00E82FE8">
        <w:rPr>
          <w:rFonts w:eastAsia="Times New Roman"/>
        </w:rPr>
        <w:t xml:space="preserve">, </w:t>
      </w:r>
      <w:r w:rsidR="008679A5">
        <w:rPr>
          <w:rFonts w:eastAsia="Times New Roman"/>
        </w:rPr>
        <w:t>2022</w:t>
      </w:r>
    </w:p>
    <w:p w14:paraId="37655C4D" w14:textId="77777777" w:rsidR="00450B80" w:rsidRPr="00E82FE8" w:rsidRDefault="00450B80" w:rsidP="00450B80">
      <w:pPr>
        <w:rPr>
          <w:rFonts w:eastAsia="Times New Roman"/>
          <w:szCs w:val="24"/>
        </w:rPr>
      </w:pPr>
    </w:p>
    <w:sectPr w:rsidR="00450B80" w:rsidRPr="00E82FE8" w:rsidSect="0062622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A3A6" w14:textId="77777777" w:rsidR="00B47AA9" w:rsidRDefault="00B47AA9" w:rsidP="00331B18">
      <w:pPr>
        <w:spacing w:before="0"/>
      </w:pPr>
      <w:r>
        <w:separator/>
      </w:r>
    </w:p>
  </w:endnote>
  <w:endnote w:type="continuationSeparator" w:id="0">
    <w:p w14:paraId="1E53C4D0" w14:textId="77777777" w:rsidR="00B47AA9" w:rsidRDefault="00B47AA9" w:rsidP="00331B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1A2" w14:textId="77777777" w:rsidR="00B47AA9" w:rsidRDefault="00B47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78F0A" w14:textId="77777777" w:rsidR="00B47AA9" w:rsidRDefault="00B4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6B31" w14:textId="77777777" w:rsidR="00B47AA9" w:rsidRDefault="00B47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6F124A" w14:textId="77777777" w:rsidR="00B47AA9" w:rsidRDefault="00B47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CB3C" w14:textId="6C8E2ADC" w:rsidR="00B47AA9" w:rsidRDefault="00B47AA9" w:rsidP="00DD3E18">
    <w:pPr>
      <w:pStyle w:val="Footer"/>
      <w:ind w:firstLine="0"/>
      <w:jc w:val="center"/>
    </w:pPr>
    <w:r>
      <w:rPr>
        <w:sz w:val="20"/>
      </w:rPr>
      <w:t>Gary W. Derrick 202</w:t>
    </w:r>
    <w:r w:rsidR="008679A5">
      <w:rPr>
        <w:sz w:val="20"/>
      </w:rPr>
      <w:t>2</w:t>
    </w:r>
    <w:r>
      <w:rPr>
        <w:sz w:val="20"/>
      </w:rPr>
      <w:t>©</w:t>
    </w:r>
  </w:p>
  <w:p w14:paraId="35139344" w14:textId="77777777" w:rsidR="00B47AA9" w:rsidRDefault="00B47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032B" w14:textId="77777777" w:rsidR="00B47AA9" w:rsidRDefault="00B47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E5B1D" w14:textId="77777777" w:rsidR="00B47AA9" w:rsidRDefault="00B47AA9">
    <w:pPr>
      <w:pStyle w:val="Footer"/>
    </w:pPr>
  </w:p>
  <w:p w14:paraId="010CACED" w14:textId="77777777" w:rsidR="00B47AA9" w:rsidRDefault="00B47AA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92406"/>
      <w:docPartObj>
        <w:docPartGallery w:val="Page Numbers (Bottom of Page)"/>
        <w:docPartUnique/>
      </w:docPartObj>
    </w:sdtPr>
    <w:sdtEndPr>
      <w:rPr>
        <w:noProof/>
      </w:rPr>
    </w:sdtEndPr>
    <w:sdtContent>
      <w:p w14:paraId="7515F65B" w14:textId="154E2A79" w:rsidR="00B20F48" w:rsidRDefault="00B20F48" w:rsidP="003773D8">
        <w:pPr>
          <w:pStyle w:val="Footer"/>
          <w:spacing w:line="240" w:lineRule="auto"/>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1906" w14:textId="77777777" w:rsidR="00B47AA9" w:rsidRPr="00C1394D" w:rsidRDefault="00B47AA9" w:rsidP="00C1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F790" w14:textId="77777777" w:rsidR="00B47AA9" w:rsidRDefault="00B47AA9" w:rsidP="00331B18">
      <w:pPr>
        <w:spacing w:before="0"/>
      </w:pPr>
      <w:r>
        <w:separator/>
      </w:r>
    </w:p>
  </w:footnote>
  <w:footnote w:type="continuationSeparator" w:id="0">
    <w:p w14:paraId="138D9A1D" w14:textId="77777777" w:rsidR="00B47AA9" w:rsidRDefault="00B47AA9" w:rsidP="00331B18">
      <w:pPr>
        <w:spacing w:before="0"/>
      </w:pPr>
      <w:r>
        <w:continuationSeparator/>
      </w:r>
    </w:p>
  </w:footnote>
  <w:footnote w:id="1">
    <w:p w14:paraId="39096D1E" w14:textId="6369D966" w:rsidR="00295A5C" w:rsidRDefault="00295A5C" w:rsidP="00295A5C">
      <w:pPr>
        <w:pStyle w:val="FootnoteText"/>
      </w:pPr>
      <w:r>
        <w:rPr>
          <w:rStyle w:val="FootnoteReference"/>
        </w:rPr>
        <w:footnoteRef/>
      </w:r>
      <w:r>
        <w:t xml:space="preserve"> </w:t>
      </w:r>
      <w:r>
        <w:tab/>
        <w:t xml:space="preserve">The pandemic took the lives of </w:t>
      </w:r>
      <w:r w:rsidR="002747B0">
        <w:t xml:space="preserve">over </w:t>
      </w:r>
      <w:r>
        <w:t>1</w:t>
      </w:r>
      <w:r w:rsidR="002747B0">
        <w:t>.0 million</w:t>
      </w:r>
      <w:r w:rsidRPr="00E82FE8">
        <w:t xml:space="preserve"> people</w:t>
      </w:r>
      <w:r>
        <w:t xml:space="preserve"> in the U.S., threw </w:t>
      </w:r>
      <w:r w:rsidRPr="00E82FE8">
        <w:t>a record 22.36 million people out of work</w:t>
      </w:r>
      <w:r w:rsidRPr="00295A5C">
        <w:t xml:space="preserve"> </w:t>
      </w:r>
      <w:r>
        <w:t xml:space="preserve">in the U.S., and caused the largest contraction in the </w:t>
      </w:r>
      <w:r w:rsidRPr="00E82FE8">
        <w:t xml:space="preserve">global economy </w:t>
      </w:r>
      <w:r>
        <w:t>since World War II.  Regarding COVID deaths, see Centers for Disease Control and Prevention, COVID Data Tracker (</w:t>
      </w:r>
      <w:r w:rsidRPr="00D217CE">
        <w:t>https://covid.cdc.gov/covid-data-tracker/#datatracker-home</w:t>
      </w:r>
      <w:r>
        <w:t>, last accessed Oct. 15, 2022)</w:t>
      </w:r>
      <w:r w:rsidR="002747B0">
        <w:t xml:space="preserve">; for U.S. job losses, see </w:t>
      </w:r>
      <w:r w:rsidR="002747B0" w:rsidRPr="00137533">
        <w:t xml:space="preserve">Elizabeth Weber Handwerker, Peter B. Meyer, Joseph Piacentini, Michael Schultz, and Leo Sveikauskas, </w:t>
      </w:r>
      <w:r w:rsidR="002747B0">
        <w:t>“</w:t>
      </w:r>
      <w:r w:rsidR="002747B0" w:rsidRPr="00137533">
        <w:t xml:space="preserve">Employment </w:t>
      </w:r>
      <w:r w:rsidR="002747B0">
        <w:t>R</w:t>
      </w:r>
      <w:r w:rsidR="002747B0" w:rsidRPr="00137533">
        <w:t xml:space="preserve">ecovery in the </w:t>
      </w:r>
      <w:r w:rsidR="002747B0">
        <w:t>W</w:t>
      </w:r>
      <w:r w:rsidR="002747B0" w:rsidRPr="00137533">
        <w:t xml:space="preserve">ake of the COVID-19 </w:t>
      </w:r>
      <w:r w:rsidR="002747B0">
        <w:t>P</w:t>
      </w:r>
      <w:r w:rsidR="002747B0" w:rsidRPr="00137533">
        <w:t>andemic</w:t>
      </w:r>
      <w:r w:rsidR="002747B0">
        <w:t xml:space="preserve">”, </w:t>
      </w:r>
      <w:r w:rsidR="002747B0" w:rsidRPr="00137533">
        <w:t>Monthly Labor Review,</w:t>
      </w:r>
      <w:r w:rsidR="002747B0">
        <w:t xml:space="preserve"> </w:t>
      </w:r>
      <w:r w:rsidR="002747B0" w:rsidRPr="00137533">
        <w:t>U.S. Bureau of Labor Statistics</w:t>
      </w:r>
      <w:r w:rsidR="002747B0">
        <w:t xml:space="preserve"> (</w:t>
      </w:r>
      <w:r w:rsidR="002747B0" w:rsidRPr="00137533">
        <w:t>December 2020</w:t>
      </w:r>
      <w:r w:rsidR="002747B0">
        <w:t xml:space="preserve">) (at </w:t>
      </w:r>
      <w:r w:rsidR="002747B0" w:rsidRPr="00D217CE">
        <w:rPr>
          <w:rFonts w:cs="Times New Roman"/>
        </w:rPr>
        <w:t>https://doi.org/10.21916/</w:t>
      </w:r>
      <w:r w:rsidR="002747B0">
        <w:rPr>
          <w:rFonts w:cs="Times New Roman"/>
        </w:rPr>
        <w:t xml:space="preserve"> </w:t>
      </w:r>
      <w:r w:rsidR="002747B0" w:rsidRPr="00D217CE">
        <w:rPr>
          <w:rFonts w:cs="Times New Roman"/>
        </w:rPr>
        <w:t>mlr.2020.27)</w:t>
      </w:r>
      <w:r w:rsidR="002747B0">
        <w:rPr>
          <w:rFonts w:cs="Times New Roman"/>
        </w:rPr>
        <w:t>, and for worldwide economic contraction, see</w:t>
      </w:r>
      <w:r>
        <w:t xml:space="preserve"> International Monetary Fund, </w:t>
      </w:r>
      <w:r w:rsidRPr="00847A16">
        <w:rPr>
          <w:i/>
          <w:iCs/>
        </w:rPr>
        <w:t>World Economic Outlook: a Long and Difficult Ascent</w:t>
      </w:r>
      <w:r>
        <w:t xml:space="preserve"> (Oct. 2020) (at </w:t>
      </w:r>
      <w:r w:rsidRPr="00D217CE">
        <w:t>https://www.imf.org/en/Publications/WEO/Issues/2020/09/30/world-economic-outlook-october-2020</w:t>
      </w:r>
      <w:r>
        <w:t xml:space="preserve">). </w:t>
      </w:r>
    </w:p>
  </w:footnote>
  <w:footnote w:id="2">
    <w:p w14:paraId="22644468" w14:textId="77777777" w:rsidR="00CA2114" w:rsidRDefault="00CA2114" w:rsidP="00CA2114">
      <w:pPr>
        <w:pStyle w:val="FootnoteText"/>
      </w:pPr>
      <w:r>
        <w:rPr>
          <w:rStyle w:val="FootnoteReference"/>
        </w:rPr>
        <w:footnoteRef/>
      </w:r>
      <w:r>
        <w:t xml:space="preserve"> </w:t>
      </w:r>
      <w:r>
        <w:tab/>
      </w:r>
      <w:bookmarkStart w:id="0" w:name="_Hlk86490816"/>
      <w:r>
        <w:t xml:space="preserve">GDP returned to its pre-pandemic level in the second quarter of 2021.  Mitchell Barnes, Lauren Bauer and Wendy Edelberg, “11 Facts on the Economic Recovery from the COVID-19 Pandemic”, </w:t>
      </w:r>
      <w:r w:rsidRPr="008C1986">
        <w:rPr>
          <w:i/>
          <w:iCs/>
        </w:rPr>
        <w:t>The Brookings Institute</w:t>
      </w:r>
      <w:r>
        <w:t xml:space="preserve"> (Sept. 29, 2021).</w:t>
      </w:r>
      <w:bookmarkEnd w:id="0"/>
    </w:p>
  </w:footnote>
  <w:footnote w:id="3">
    <w:p w14:paraId="50C918E9" w14:textId="77777777" w:rsidR="002B1E0A" w:rsidRPr="004D27F6" w:rsidRDefault="002B1E0A" w:rsidP="002B1E0A">
      <w:pPr>
        <w:pStyle w:val="Footnote"/>
      </w:pPr>
      <w:r w:rsidRPr="004D27F6">
        <w:rPr>
          <w:rStyle w:val="FootnoteReference"/>
          <w:position w:val="0"/>
          <w:sz w:val="20"/>
        </w:rPr>
        <w:footnoteRef/>
      </w:r>
      <w:r w:rsidRPr="004D27F6">
        <w:t xml:space="preserve"> </w:t>
      </w:r>
      <w:r w:rsidRPr="004D27F6">
        <w:tab/>
      </w:r>
      <w:r>
        <w:t xml:space="preserve">On </w:t>
      </w:r>
      <w:r w:rsidRPr="004D27F6">
        <w:t xml:space="preserve">January 1, 2021, Congress </w:t>
      </w:r>
      <w:r>
        <w:t xml:space="preserve">passed the Corporate Transparency act as part of the </w:t>
      </w:r>
      <w:r w:rsidRPr="004D27F6">
        <w:t>Anti-Money Laundering Act of 2020 (“</w:t>
      </w:r>
      <w:r w:rsidRPr="0053115C">
        <w:rPr>
          <w:i/>
          <w:iCs/>
        </w:rPr>
        <w:t>AMLA</w:t>
      </w:r>
      <w:r w:rsidRPr="004D27F6">
        <w:t>”),</w:t>
      </w:r>
      <w:r>
        <w:t xml:space="preserve"> which was included within the </w:t>
      </w:r>
      <w:r w:rsidRPr="004D27F6">
        <w:t>National Defense Authorization Act of 2021 (“</w:t>
      </w:r>
      <w:r w:rsidRPr="0053115C">
        <w:rPr>
          <w:i/>
          <w:iCs/>
        </w:rPr>
        <w:t>NDAA</w:t>
      </w:r>
      <w:r w:rsidRPr="004D27F6">
        <w:t>”)</w:t>
      </w:r>
      <w:r>
        <w:t xml:space="preserve">; codified at 31 U.S.C. </w:t>
      </w:r>
      <w:r>
        <w:rPr>
          <w:rFonts w:cs="Times New Roman"/>
        </w:rPr>
        <w:t>§</w:t>
      </w:r>
      <w:r>
        <w:t>5336</w:t>
      </w:r>
      <w:r w:rsidRPr="004D27F6">
        <w:t xml:space="preserve">. </w:t>
      </w:r>
    </w:p>
  </w:footnote>
  <w:footnote w:id="4">
    <w:p w14:paraId="50111195" w14:textId="77777777" w:rsidR="00B527CA" w:rsidRPr="004405DF" w:rsidRDefault="00B527CA" w:rsidP="00B527CA">
      <w:pPr>
        <w:pStyle w:val="FootnoteText"/>
        <w:rPr>
          <w:rFonts w:cs="Times New Roman"/>
          <w:sz w:val="24"/>
          <w:szCs w:val="24"/>
        </w:rPr>
      </w:pPr>
      <w:r>
        <w:rPr>
          <w:rStyle w:val="FootnoteReference"/>
        </w:rPr>
        <w:footnoteRef/>
      </w:r>
      <w:r>
        <w:t xml:space="preserve"> </w:t>
      </w:r>
      <w:r>
        <w:tab/>
      </w:r>
      <w:r w:rsidRPr="00B0148E">
        <w:rPr>
          <w:rFonts w:cs="Times New Roman"/>
          <w:color w:val="202122"/>
          <w:shd w:val="clear" w:color="auto" w:fill="FFFFFF"/>
        </w:rPr>
        <w:t xml:space="preserve">The </w:t>
      </w:r>
      <w:r>
        <w:rPr>
          <w:rFonts w:cs="Times New Roman"/>
          <w:color w:val="202122"/>
          <w:shd w:val="clear" w:color="auto" w:fill="FFFFFF"/>
        </w:rPr>
        <w:t xml:space="preserve">major </w:t>
      </w:r>
      <w:r w:rsidRPr="00B0148E">
        <w:rPr>
          <w:rFonts w:cs="Times New Roman"/>
          <w:color w:val="202122"/>
          <w:shd w:val="clear" w:color="auto" w:fill="FFFFFF"/>
        </w:rPr>
        <w:t xml:space="preserve">financial markets </w:t>
      </w:r>
      <w:r>
        <w:rPr>
          <w:rFonts w:cs="Times New Roman"/>
          <w:color w:val="202122"/>
          <w:shd w:val="clear" w:color="auto" w:fill="FFFFFF"/>
        </w:rPr>
        <w:t xml:space="preserve">all </w:t>
      </w:r>
      <w:r w:rsidRPr="00B0148E">
        <w:rPr>
          <w:rFonts w:cs="Times New Roman"/>
          <w:color w:val="202122"/>
          <w:shd w:val="clear" w:color="auto" w:fill="FFFFFF"/>
        </w:rPr>
        <w:t xml:space="preserve">provide ESG ratings indexes, such as the </w:t>
      </w:r>
      <w:r w:rsidRPr="00B0148E">
        <w:rPr>
          <w:rFonts w:cs="Times New Roman"/>
          <w:shd w:val="clear" w:color="auto" w:fill="FFFFFF"/>
        </w:rPr>
        <w:t>Dow Jones Sustainability Indices</w:t>
      </w:r>
      <w:r w:rsidRPr="00B0148E">
        <w:rPr>
          <w:rFonts w:cs="Times New Roman"/>
          <w:color w:val="202122"/>
          <w:shd w:val="clear" w:color="auto" w:fill="FFFFFF"/>
        </w:rPr>
        <w:t>, Bloomberg ESG data,</w:t>
      </w:r>
      <w:r>
        <w:rPr>
          <w:rFonts w:cs="Times New Roman"/>
          <w:color w:val="202122"/>
          <w:shd w:val="clear" w:color="auto" w:fill="FFFFFF"/>
        </w:rPr>
        <w:t xml:space="preserve"> </w:t>
      </w:r>
      <w:r w:rsidRPr="00B0148E">
        <w:rPr>
          <w:rFonts w:cs="Times New Roman"/>
          <w:color w:val="202122"/>
          <w:shd w:val="clear" w:color="auto" w:fill="FFFFFF"/>
        </w:rPr>
        <w:t>the</w:t>
      </w:r>
      <w:r>
        <w:rPr>
          <w:rFonts w:cs="Times New Roman"/>
          <w:color w:val="202122"/>
          <w:shd w:val="clear" w:color="auto" w:fill="FFFFFF"/>
        </w:rPr>
        <w:t xml:space="preserve"> </w:t>
      </w:r>
      <w:r w:rsidRPr="00B0148E">
        <w:rPr>
          <w:rFonts w:cs="Times New Roman"/>
          <w:shd w:val="clear" w:color="auto" w:fill="FFFFFF"/>
        </w:rPr>
        <w:t xml:space="preserve">FTSE4Good Index, </w:t>
      </w:r>
      <w:r w:rsidRPr="00B0148E">
        <w:rPr>
          <w:rFonts w:cs="Times New Roman"/>
          <w:color w:val="202122"/>
          <w:shd w:val="clear" w:color="auto" w:fill="FFFFFF"/>
        </w:rPr>
        <w:t>and the MSCI ESG Indices.</w:t>
      </w:r>
    </w:p>
  </w:footnote>
  <w:footnote w:id="5">
    <w:p w14:paraId="39DC54E6" w14:textId="48074EF1" w:rsidR="00B527CA" w:rsidRPr="001A4AEA" w:rsidRDefault="00B527CA" w:rsidP="00B527CA">
      <w:pPr>
        <w:pStyle w:val="Footnote"/>
        <w:rPr>
          <w:rFonts w:cs="Times New Roman"/>
          <w:szCs w:val="20"/>
        </w:rPr>
      </w:pPr>
      <w:r>
        <w:rPr>
          <w:rStyle w:val="FootnoteReference"/>
        </w:rPr>
        <w:footnoteRef/>
      </w:r>
      <w:r>
        <w:t xml:space="preserve"> </w:t>
      </w:r>
      <w:r>
        <w:tab/>
        <w:t>The financial markets historically assumed that ethically or socially motivated investment would by its nature reduce returns.  Recent research has rebutted that assumption, and many institutional investors, including BlackRock, the world’s largest investment firm</w:t>
      </w:r>
      <w:r w:rsidR="009E21FA">
        <w:t>,</w:t>
      </w:r>
      <w:r>
        <w:t xml:space="preserve"> ha</w:t>
      </w:r>
      <w:r w:rsidR="00B4365C">
        <w:t>ve</w:t>
      </w:r>
      <w:r>
        <w:t xml:space="preserve"> concluded that greater corporate responsibility equates to higher long-term investment returns.  </w:t>
      </w:r>
      <w:r w:rsidR="001A4AEA" w:rsidRPr="000C0891">
        <w:rPr>
          <w:i/>
          <w:iCs/>
        </w:rPr>
        <w:t>See</w:t>
      </w:r>
      <w:r w:rsidR="001A4AEA">
        <w:t xml:space="preserve"> </w:t>
      </w:r>
      <w:r w:rsidR="001A4AEA" w:rsidRPr="001A4AEA">
        <w:rPr>
          <w:rFonts w:cs="Times New Roman"/>
          <w:szCs w:val="20"/>
          <w:shd w:val="clear" w:color="auto" w:fill="FFFFFF"/>
        </w:rPr>
        <w:t>BlackRock</w:t>
      </w:r>
      <w:r w:rsidR="001A4AEA">
        <w:rPr>
          <w:rFonts w:cs="Times New Roman"/>
          <w:szCs w:val="20"/>
          <w:shd w:val="clear" w:color="auto" w:fill="FFFFFF"/>
        </w:rPr>
        <w:t>, “</w:t>
      </w:r>
      <w:r w:rsidR="000C0891">
        <w:t xml:space="preserve">Sustainable investing: resilience amid uncertainty” (at </w:t>
      </w:r>
      <w:r w:rsidR="009D622A" w:rsidRPr="009D622A">
        <w:rPr>
          <w:rFonts w:cs="Times New Roman"/>
          <w:szCs w:val="20"/>
          <w:shd w:val="clear" w:color="auto" w:fill="FFFFFF"/>
        </w:rPr>
        <w:t>https://www.blackrock.com/corporate/about-us/sustainability-resilience-research</w:t>
      </w:r>
      <w:r w:rsidR="000C0891">
        <w:rPr>
          <w:rFonts w:cs="Times New Roman"/>
          <w:szCs w:val="20"/>
        </w:rPr>
        <w:t>).</w:t>
      </w:r>
    </w:p>
  </w:footnote>
  <w:footnote w:id="6">
    <w:p w14:paraId="54B1D83D" w14:textId="5347159E" w:rsidR="00B527CA" w:rsidRDefault="00B527CA" w:rsidP="00B527CA">
      <w:pPr>
        <w:pStyle w:val="Footnote"/>
      </w:pPr>
      <w:r>
        <w:rPr>
          <w:rStyle w:val="FootnoteReference"/>
        </w:rPr>
        <w:footnoteRef/>
      </w:r>
      <w:r>
        <w:t xml:space="preserve"> </w:t>
      </w:r>
      <w:r>
        <w:tab/>
      </w:r>
      <w:r w:rsidR="000279E7" w:rsidRPr="000279E7">
        <w:rPr>
          <w:i/>
          <w:iCs/>
        </w:rPr>
        <w:t>See e.g</w:t>
      </w:r>
      <w:r w:rsidR="000279E7">
        <w:t xml:space="preserve">., </w:t>
      </w:r>
      <w:r w:rsidR="007A5380">
        <w:t>Microsoft, “</w:t>
      </w:r>
      <w:r w:rsidR="00B4365C">
        <w:t>Environmental Sustainability Report</w:t>
      </w:r>
      <w:r w:rsidR="007A5380">
        <w:t xml:space="preserve">” (at </w:t>
      </w:r>
      <w:r w:rsidR="00B4365C" w:rsidRPr="00B4365C">
        <w:t>https://www.microsoft.com/en-us/corporate-responsibility/sustainability/report</w:t>
      </w:r>
      <w:r w:rsidR="00350DD5">
        <w:t xml:space="preserve">); </w:t>
      </w:r>
      <w:r w:rsidR="000279E7">
        <w:t xml:space="preserve">ExxonMobil, “Sustainability </w:t>
      </w:r>
      <w:r w:rsidR="00B4365C">
        <w:t>at ExcxonMobil</w:t>
      </w:r>
      <w:r w:rsidR="000279E7">
        <w:t xml:space="preserve"> (at </w:t>
      </w:r>
      <w:r w:rsidR="00B4365C" w:rsidRPr="00B4365C">
        <w:t>https://corporate.exxonmobil.com/sustainability/sustainability-report#Ourapproach</w:t>
      </w:r>
      <w:r w:rsidR="000279E7">
        <w:t xml:space="preserve">); and </w:t>
      </w:r>
      <w:r w:rsidR="007A5380">
        <w:t>Coca-Cola, “</w:t>
      </w:r>
      <w:r w:rsidR="00B4365C">
        <w:t xml:space="preserve">2021 </w:t>
      </w:r>
      <w:r w:rsidR="007A5380">
        <w:t>Business &amp; E</w:t>
      </w:r>
      <w:r w:rsidR="00B4365C">
        <w:t>SG</w:t>
      </w:r>
      <w:r w:rsidR="00350DD5">
        <w:t xml:space="preserve"> Report”</w:t>
      </w:r>
      <w:r w:rsidR="000279E7">
        <w:t xml:space="preserve"> </w:t>
      </w:r>
      <w:r w:rsidR="007A5380">
        <w:t>(</w:t>
      </w:r>
      <w:r w:rsidR="00BE2EE0">
        <w:t xml:space="preserve">at </w:t>
      </w:r>
      <w:r w:rsidR="00BE2EE0" w:rsidRPr="00BE2EE0">
        <w:t>https://www.coca-colacompany.com/</w:t>
      </w:r>
      <w:r w:rsidR="00BE2EE0">
        <w:t xml:space="preserve"> </w:t>
      </w:r>
      <w:r w:rsidR="00BE2EE0" w:rsidRPr="00BE2EE0">
        <w:t>content/dam/journey/us/en/reports/coca-cola-business-environmental-social-governance-report-2021.pdf</w:t>
      </w:r>
      <w:r w:rsidR="007A5380">
        <w:t xml:space="preserve">). </w:t>
      </w:r>
    </w:p>
  </w:footnote>
  <w:footnote w:id="7">
    <w:p w14:paraId="1E7D8E83" w14:textId="0F4EE40F" w:rsidR="006B2B29" w:rsidRDefault="006B2B29" w:rsidP="006B2B29">
      <w:pPr>
        <w:pStyle w:val="FootnoteText"/>
      </w:pPr>
      <w:r>
        <w:rPr>
          <w:rStyle w:val="FootnoteReference"/>
        </w:rPr>
        <w:footnoteRef/>
      </w:r>
      <w:r>
        <w:t xml:space="preserve"> </w:t>
      </w:r>
      <w:r>
        <w:tab/>
      </w:r>
      <w:r w:rsidR="00BD2FB5">
        <w:t xml:space="preserve">The statement was endorsed by business leaders, including the Chairman and CEO of JPMorgan Chase, the former CEO of Vanguard, and the President of the Ford Foundation. (at </w:t>
      </w:r>
      <w:r w:rsidR="00BD2FB5" w:rsidRPr="009B774E">
        <w:t>https://www.businessroundtable.org/business-roundtable-redefines-the-purpose-of-a-corporation-to-promote-an-economy-that-serves-all-americans</w:t>
      </w:r>
      <w:r w:rsidR="00BD2FB5">
        <w:t>)</w:t>
      </w:r>
      <w:r>
        <w:t xml:space="preserve">. </w:t>
      </w:r>
    </w:p>
  </w:footnote>
  <w:footnote w:id="8">
    <w:p w14:paraId="1C7539B3" w14:textId="7A3644A1" w:rsidR="0010347B" w:rsidRDefault="0010347B" w:rsidP="0010347B">
      <w:pPr>
        <w:pStyle w:val="FootnoteText"/>
      </w:pPr>
      <w:r>
        <w:rPr>
          <w:rStyle w:val="FootnoteReference"/>
        </w:rPr>
        <w:footnoteRef/>
      </w:r>
      <w:r>
        <w:t xml:space="preserve"> </w:t>
      </w:r>
      <w:r>
        <w:tab/>
      </w:r>
      <w:r w:rsidRPr="00075A4A">
        <w:rPr>
          <w:i/>
          <w:iCs/>
        </w:rPr>
        <w:t>See</w:t>
      </w:r>
      <w:r>
        <w:t xml:space="preserve"> Larry Fink’s 2022 Letter to CEO’s, “The Power of Capitalism” (at </w:t>
      </w:r>
      <w:r w:rsidRPr="00DB39A3">
        <w:t>https://www.blackrock.com/corporate/investor-relations/larry-fink-ceo-letter</w:t>
      </w:r>
      <w:r>
        <w:t xml:space="preserve">). </w:t>
      </w:r>
    </w:p>
  </w:footnote>
  <w:footnote w:id="9">
    <w:p w14:paraId="5505B5AF" w14:textId="02671E65" w:rsidR="0030787C" w:rsidRPr="0030787C" w:rsidRDefault="0030787C">
      <w:pPr>
        <w:pStyle w:val="FootnoteText"/>
      </w:pPr>
      <w:r>
        <w:rPr>
          <w:rStyle w:val="FootnoteReference"/>
        </w:rPr>
        <w:footnoteRef/>
      </w:r>
      <w:r>
        <w:t xml:space="preserve"> </w:t>
      </w:r>
      <w:r>
        <w:tab/>
      </w:r>
      <w:r w:rsidRPr="0030787C">
        <w:rPr>
          <w:shd w:val="clear" w:color="auto" w:fill="FFFFFF"/>
        </w:rPr>
        <w:t>KPMG 2022 CEO Outlook.  KPMG</w:t>
      </w:r>
      <w:r w:rsidRPr="0030787C">
        <w:rPr>
          <w:color w:val="343E47"/>
          <w:shd w:val="clear" w:color="auto" w:fill="FFFFFF"/>
        </w:rPr>
        <w:t xml:space="preserve"> surveyed.</w:t>
      </w:r>
      <w:r w:rsidRPr="0030787C">
        <w:rPr>
          <w:shd w:val="clear" w:color="auto" w:fill="FFFFFF"/>
        </w:rPr>
        <w:t xml:space="preserve"> (available at </w:t>
      </w:r>
      <w:r w:rsidRPr="00DB39A3">
        <w:rPr>
          <w:shd w:val="clear" w:color="auto" w:fill="FFFFFF"/>
        </w:rPr>
        <w:t>https://assets.kpmg/content/dam/kpmg/xx/pdf/2022/10/ceo-outlook-report.pdf</w:t>
      </w:r>
      <w:r w:rsidRPr="0030787C">
        <w:rPr>
          <w:rStyle w:val="Hyperlink"/>
          <w:shd w:val="clear" w:color="auto" w:fill="FFFFFF"/>
        </w:rPr>
        <w:t>.</w:t>
      </w:r>
    </w:p>
  </w:footnote>
  <w:footnote w:id="10">
    <w:p w14:paraId="04968856" w14:textId="77777777" w:rsidR="00F77E9F" w:rsidRDefault="00F77E9F" w:rsidP="00F77E9F">
      <w:pPr>
        <w:pStyle w:val="FootnoteText"/>
      </w:pPr>
      <w:r>
        <w:rPr>
          <w:rStyle w:val="FootnoteReference"/>
        </w:rPr>
        <w:footnoteRef/>
      </w:r>
      <w:r>
        <w:t xml:space="preserve"> </w:t>
      </w:r>
      <w:r>
        <w:tab/>
      </w:r>
      <w:r w:rsidRPr="004575A1">
        <w:rPr>
          <w:i/>
          <w:iCs/>
        </w:rPr>
        <w:t>See gen</w:t>
      </w:r>
      <w:r>
        <w:t xml:space="preserve">., Henry Tricks, “Special Report:  ESG Investing”, </w:t>
      </w:r>
      <w:r w:rsidRPr="00984A58">
        <w:rPr>
          <w:i/>
          <w:iCs/>
        </w:rPr>
        <w:t>The Economist</w:t>
      </w:r>
      <w:r>
        <w:t xml:space="preserve"> (July 23, 2022). </w:t>
      </w:r>
    </w:p>
  </w:footnote>
  <w:footnote w:id="11">
    <w:p w14:paraId="42F47D5B" w14:textId="56D57895" w:rsidR="00DB39A3" w:rsidRDefault="00DB39A3">
      <w:pPr>
        <w:pStyle w:val="FootnoteText"/>
      </w:pPr>
      <w:r>
        <w:rPr>
          <w:rStyle w:val="FootnoteReference"/>
        </w:rPr>
        <w:footnoteRef/>
      </w:r>
      <w:r>
        <w:t xml:space="preserve"> </w:t>
      </w:r>
      <w:r>
        <w:tab/>
      </w:r>
      <w:r w:rsidRPr="00DB39A3">
        <w:rPr>
          <w:rFonts w:cs="Times New Roman"/>
          <w:color w:val="333333"/>
        </w:rPr>
        <w:t>Kevin Prall,</w:t>
      </w:r>
      <w:r>
        <w:rPr>
          <w:rFonts w:cs="Times New Roman"/>
          <w:color w:val="333333"/>
        </w:rPr>
        <w:t xml:space="preserve"> “</w:t>
      </w:r>
      <w:r w:rsidRPr="00DB39A3">
        <w:rPr>
          <w:rStyle w:val="Emphasis"/>
          <w:rFonts w:cs="Times New Roman"/>
          <w:i w:val="0"/>
          <w:iCs w:val="0"/>
        </w:rPr>
        <w:t>ESG Ratings: Navigating Through the Haze”</w:t>
      </w:r>
      <w:r w:rsidRPr="00DB39A3">
        <w:rPr>
          <w:rFonts w:cs="Times New Roman"/>
        </w:rPr>
        <w:t xml:space="preserve">, </w:t>
      </w:r>
      <w:r w:rsidRPr="00DB39A3">
        <w:rPr>
          <w:rFonts w:cs="Times New Roman"/>
          <w:i/>
          <w:iCs/>
        </w:rPr>
        <w:t>CFA Institute</w:t>
      </w:r>
      <w:r w:rsidRPr="00DB39A3">
        <w:rPr>
          <w:rFonts w:cs="Times New Roman"/>
        </w:rPr>
        <w:t xml:space="preserve"> (Aug. 10, 2021) (available at https://blogs.cfainstitute.org/investor/2021/08/10/esg-ratings-navigating-through-the-haze/).</w:t>
      </w:r>
    </w:p>
  </w:footnote>
  <w:footnote w:id="12">
    <w:p w14:paraId="7242ADE4" w14:textId="6F30FC74" w:rsidR="00E01962" w:rsidRDefault="00E01962">
      <w:pPr>
        <w:pStyle w:val="FootnoteText"/>
      </w:pPr>
      <w:r>
        <w:rPr>
          <w:rStyle w:val="FootnoteReference"/>
        </w:rPr>
        <w:footnoteRef/>
      </w:r>
      <w:r>
        <w:t xml:space="preserve"> </w:t>
      </w:r>
      <w:r>
        <w:tab/>
      </w:r>
      <w:r w:rsidRPr="00E01962">
        <w:rPr>
          <w:i/>
          <w:iCs/>
        </w:rPr>
        <w:t>Supra</w:t>
      </w:r>
      <w:r>
        <w:t xml:space="preserve"> Tricks, “Special Report:  ESG Investing”.</w:t>
      </w:r>
    </w:p>
  </w:footnote>
  <w:footnote w:id="13">
    <w:p w14:paraId="7FA3F93E" w14:textId="3CFF475B" w:rsidR="006D686B" w:rsidRDefault="006D686B" w:rsidP="006D686B">
      <w:pPr>
        <w:pStyle w:val="FootnoteText"/>
      </w:pPr>
      <w:r>
        <w:rPr>
          <w:rStyle w:val="FootnoteReference"/>
        </w:rPr>
        <w:footnoteRef/>
      </w:r>
      <w:r>
        <w:t xml:space="preserve"> </w:t>
      </w:r>
      <w:r>
        <w:tab/>
      </w:r>
      <w:r w:rsidRPr="00DC5376">
        <w:t xml:space="preserve">SEC, The Enhancement and Standardization of Climate-Related Disclosures for Investors (2022), Release Nos. 33-11042; 34-94478, </w:t>
      </w:r>
      <w:r w:rsidRPr="00DB39A3">
        <w:t>https://www.sec.gov/rules/proposed/2022/33-11042.pdf</w:t>
      </w:r>
      <w:r w:rsidRPr="00DC5376">
        <w:t>.</w:t>
      </w:r>
      <w:r>
        <w:t xml:space="preserve"> </w:t>
      </w:r>
    </w:p>
  </w:footnote>
  <w:footnote w:id="14">
    <w:p w14:paraId="5275CF7D" w14:textId="46E3372D" w:rsidR="00277EBE" w:rsidRDefault="00277EBE">
      <w:pPr>
        <w:pStyle w:val="FootnoteText"/>
      </w:pPr>
      <w:r>
        <w:rPr>
          <w:rStyle w:val="FootnoteReference"/>
        </w:rPr>
        <w:footnoteRef/>
      </w:r>
      <w:r>
        <w:t xml:space="preserve"> </w:t>
      </w:r>
      <w:r>
        <w:tab/>
        <w:t xml:space="preserve">The ISSB is under the IFRS Foundation, which fixes the financial reporting and accounting standards for international companies.  </w:t>
      </w:r>
    </w:p>
  </w:footnote>
  <w:footnote w:id="15">
    <w:p w14:paraId="0EE62ACE" w14:textId="6902541A" w:rsidR="0016447C" w:rsidRDefault="0016447C" w:rsidP="0016447C">
      <w:pPr>
        <w:pStyle w:val="FootnoteText"/>
      </w:pPr>
      <w:r>
        <w:rPr>
          <w:rStyle w:val="FootnoteReference"/>
        </w:rPr>
        <w:footnoteRef/>
      </w:r>
      <w:r>
        <w:t xml:space="preserve"> </w:t>
      </w:r>
      <w:r>
        <w:tab/>
      </w:r>
      <w:r w:rsidR="00B27E32" w:rsidRPr="00B27E32">
        <w:rPr>
          <w:i/>
          <w:iCs/>
        </w:rPr>
        <w:t>See</w:t>
      </w:r>
      <w:r w:rsidR="00B27E32">
        <w:t xml:space="preserve"> David</w:t>
      </w:r>
      <w:r w:rsidR="00984A58" w:rsidRPr="00984A58">
        <w:t xml:space="preserve"> </w:t>
      </w:r>
      <w:r w:rsidR="00984A58">
        <w:t>Gelles</w:t>
      </w:r>
      <w:r w:rsidR="00B27E32">
        <w:t xml:space="preserve"> and Hiroko Tabuchi, “How an Organized Republican Effort Punishes Companies for Climate Action”, </w:t>
      </w:r>
      <w:r w:rsidR="00B27E32" w:rsidRPr="00B27E32">
        <w:rPr>
          <w:i/>
          <w:iCs/>
        </w:rPr>
        <w:t>NY Times</w:t>
      </w:r>
      <w:r w:rsidR="00B27E32">
        <w:t xml:space="preserve"> (May 27, 2022) (</w:t>
      </w:r>
      <w:r w:rsidR="000F32DB">
        <w:t xml:space="preserve">describing </w:t>
      </w:r>
      <w:r w:rsidR="00B27E32">
        <w:t xml:space="preserve">the </w:t>
      </w:r>
      <w:r w:rsidR="000F32DB">
        <w:t xml:space="preserve">state-level, </w:t>
      </w:r>
      <w:r w:rsidR="00B27E32">
        <w:t>political backlash against ESG)</w:t>
      </w:r>
      <w:r w:rsidR="00392781">
        <w:t>.</w:t>
      </w:r>
      <w:r w:rsidR="00B27E32">
        <w:t xml:space="preserve"> </w:t>
      </w:r>
      <w:r w:rsidR="00392781">
        <w:rPr>
          <w:i/>
          <w:iCs/>
        </w:rPr>
        <w:t xml:space="preserve"> S</w:t>
      </w:r>
      <w:r w:rsidR="00B27E32" w:rsidRPr="00B27E32">
        <w:rPr>
          <w:i/>
          <w:iCs/>
        </w:rPr>
        <w:t>ee also</w:t>
      </w:r>
      <w:r>
        <w:t xml:space="preserve"> Jon Michael</w:t>
      </w:r>
      <w:r w:rsidR="00B27E32" w:rsidRPr="00B27E32">
        <w:t xml:space="preserve"> </w:t>
      </w:r>
      <w:r w:rsidR="00B27E32">
        <w:t>Raasch</w:t>
      </w:r>
      <w:r>
        <w:t xml:space="preserve">, “Oklahoma Gov. Stitt:  ESG is an anti-American political agenda”, </w:t>
      </w:r>
      <w:r w:rsidRPr="00B27E32">
        <w:rPr>
          <w:i/>
          <w:iCs/>
        </w:rPr>
        <w:t>Fox News</w:t>
      </w:r>
      <w:r>
        <w:t xml:space="preserve"> (Oct. 11, 2022) (available at </w:t>
      </w:r>
      <w:r w:rsidR="00392781" w:rsidRPr="00392781">
        <w:t>https://www.foxnews.com/</w:t>
      </w:r>
      <w:r w:rsidR="00392781">
        <w:t xml:space="preserve"> </w:t>
      </w:r>
      <w:r w:rsidRPr="00DB39A3">
        <w:t>politics/oklahoma-governor-stitt-esg-anti-american-political-agenda</w:t>
      </w:r>
      <w:r>
        <w:t xml:space="preserve">). </w:t>
      </w:r>
    </w:p>
  </w:footnote>
  <w:footnote w:id="16">
    <w:p w14:paraId="2783864E" w14:textId="55002E08" w:rsidR="00CF7C89" w:rsidRDefault="00CF7C89" w:rsidP="00CF7C89">
      <w:pPr>
        <w:pStyle w:val="FootnoteText"/>
      </w:pPr>
      <w:r>
        <w:rPr>
          <w:rStyle w:val="FootnoteReference"/>
        </w:rPr>
        <w:footnoteRef/>
      </w:r>
      <w:r>
        <w:t xml:space="preserve"> </w:t>
      </w:r>
      <w:r>
        <w:tab/>
        <w:t>The states include</w:t>
      </w:r>
      <w:r w:rsidRPr="00CF7C89">
        <w:t xml:space="preserve"> </w:t>
      </w:r>
      <w:r w:rsidRPr="00CF7C89">
        <w:rPr>
          <w:rFonts w:cs="Times New Roman"/>
          <w:color w:val="333333"/>
          <w:shd w:val="clear" w:color="auto" w:fill="FFFFFF"/>
        </w:rPr>
        <w:t xml:space="preserve">Texas, Florida, West Virginia, North Dakota, Oklahoma, Minnesota, Idaho, South Carolina, Louisiana, Idaho, Wyoming, Arizona, Kentucky, Utah, Indiana, Missouri, Ohio and South Dakota. </w:t>
      </w:r>
      <w:r w:rsidRPr="00CF7C89">
        <w:t xml:space="preserve"> </w:t>
      </w:r>
      <w:r>
        <w:t>Ellen</w:t>
      </w:r>
      <w:r w:rsidRPr="00CF7C89">
        <w:t xml:space="preserve"> </w:t>
      </w:r>
      <w:r>
        <w:t xml:space="preserve">Kennedy, “The ESG Investing Backlash”, </w:t>
      </w:r>
      <w:r w:rsidRPr="00DE1876">
        <w:rPr>
          <w:i/>
          <w:iCs/>
        </w:rPr>
        <w:t>The Kiplinger Report</w:t>
      </w:r>
      <w:r>
        <w:t xml:space="preserve"> (Sept. 6, 2022). </w:t>
      </w:r>
    </w:p>
  </w:footnote>
  <w:footnote w:id="17">
    <w:p w14:paraId="1FB2169F" w14:textId="5956B17E" w:rsidR="00CF7C89" w:rsidRDefault="00CF7C89">
      <w:pPr>
        <w:pStyle w:val="FootnoteText"/>
      </w:pPr>
      <w:r>
        <w:rPr>
          <w:rStyle w:val="FootnoteReference"/>
        </w:rPr>
        <w:footnoteRef/>
      </w:r>
      <w:r>
        <w:t xml:space="preserve"> </w:t>
      </w:r>
      <w:r>
        <w:tab/>
        <w:t>House Bill No. 2034 by McBride, O’Donnell, West (Kevin), Bashore and Roberts (Sean) of the House and Allen David, Bullard and Bergstrom of the Senate.  The bill became effective November 1, 2022</w:t>
      </w:r>
      <w:r w:rsidR="00B76610">
        <w:t xml:space="preserve">, and is codified at </w:t>
      </w:r>
      <w:r w:rsidR="00BF3415">
        <w:t xml:space="preserve">74 O.S. </w:t>
      </w:r>
      <w:r w:rsidR="00BF3415">
        <w:rPr>
          <w:rFonts w:cs="Times New Roman"/>
        </w:rPr>
        <w:t>§</w:t>
      </w:r>
      <w:r w:rsidR="00BF3415">
        <w:t xml:space="preserve">12001 </w:t>
      </w:r>
      <w:r w:rsidR="00BF3415" w:rsidRPr="00BF3415">
        <w:rPr>
          <w:i/>
          <w:iCs/>
        </w:rPr>
        <w:t>et seq</w:t>
      </w:r>
      <w:r>
        <w:t xml:space="preserve">.  </w:t>
      </w:r>
    </w:p>
  </w:footnote>
  <w:footnote w:id="18">
    <w:p w14:paraId="57AB7984" w14:textId="60C3D510" w:rsidR="005B074B" w:rsidRPr="005B074B" w:rsidRDefault="005B074B">
      <w:pPr>
        <w:pStyle w:val="FootnoteText"/>
      </w:pPr>
      <w:r>
        <w:rPr>
          <w:rStyle w:val="FootnoteReference"/>
        </w:rPr>
        <w:footnoteRef/>
      </w:r>
      <w:r>
        <w:t xml:space="preserve"> </w:t>
      </w:r>
      <w:r>
        <w:tab/>
        <w:t xml:space="preserve">The Treasurer compiles this list </w:t>
      </w:r>
      <w:r w:rsidR="00574B07">
        <w:t>from</w:t>
      </w:r>
      <w:r w:rsidRPr="005B074B">
        <w:t xml:space="preserve"> publicly available information including information </w:t>
      </w:r>
      <w:r>
        <w:t>sourced from</w:t>
      </w:r>
      <w:r w:rsidRPr="005B074B">
        <w:t xml:space="preserve"> nonprofit organizations, research firms, international organizations, and governmental entities</w:t>
      </w:r>
      <w:r>
        <w:t xml:space="preserve">.  The Treasurer may ask the financial services firm whether it has boycotted an energy company and can make its determination without “further investigation, research, or inquiry . . .”  </w:t>
      </w:r>
      <w:r w:rsidRPr="005B074B">
        <w:rPr>
          <w:i/>
          <w:iCs/>
        </w:rPr>
        <w:t>Id</w:t>
      </w:r>
      <w:r>
        <w:t xml:space="preserve">., </w:t>
      </w:r>
      <w:r w:rsidR="00BF3415">
        <w:rPr>
          <w:rFonts w:cs="Times New Roman"/>
        </w:rPr>
        <w:t>§</w:t>
      </w:r>
      <w:r w:rsidR="00BF3415">
        <w:t>12003.</w:t>
      </w:r>
      <w:r>
        <w:t>A.1.b.</w:t>
      </w:r>
    </w:p>
  </w:footnote>
  <w:footnote w:id="19">
    <w:p w14:paraId="6FE54D43" w14:textId="52F948F3" w:rsidR="006A2621" w:rsidRDefault="006A2621">
      <w:pPr>
        <w:pStyle w:val="FootnoteText"/>
      </w:pPr>
      <w:r>
        <w:rPr>
          <w:rStyle w:val="FootnoteReference"/>
        </w:rPr>
        <w:footnoteRef/>
      </w:r>
      <w:r>
        <w:t xml:space="preserve"> </w:t>
      </w:r>
      <w:r>
        <w:tab/>
        <w:t xml:space="preserve">A state agency is not required to divest if it will suffer loss, but the agency that </w:t>
      </w:r>
      <w:r w:rsidR="00091314">
        <w:t xml:space="preserve">does not divest </w:t>
      </w:r>
      <w:r>
        <w:t xml:space="preserve">must report to the Treasurer, the presiding officer of each house, and the Attorney General describing “the reason and justification supported by clear and </w:t>
      </w:r>
      <w:r w:rsidR="00B76610">
        <w:t>convincing</w:t>
      </w:r>
      <w:r>
        <w:t xml:space="preserve"> evidence, for deciding to cease divestment.”  </w:t>
      </w:r>
      <w:r w:rsidRPr="006A2621">
        <w:rPr>
          <w:i/>
          <w:iCs/>
        </w:rPr>
        <w:t>Id</w:t>
      </w:r>
      <w:r>
        <w:t xml:space="preserve">., </w:t>
      </w:r>
      <w:r w:rsidR="00BF3415">
        <w:rPr>
          <w:rFonts w:cs="Times New Roman"/>
        </w:rPr>
        <w:t>§</w:t>
      </w:r>
      <w:r w:rsidR="00BF3415">
        <w:t>12003.</w:t>
      </w:r>
      <w:r>
        <w:t>A.3.</w:t>
      </w:r>
    </w:p>
  </w:footnote>
  <w:footnote w:id="20">
    <w:p w14:paraId="0349C903" w14:textId="21B44990" w:rsidR="00B76610" w:rsidRDefault="00B76610">
      <w:pPr>
        <w:pStyle w:val="FootnoteText"/>
      </w:pPr>
      <w:r>
        <w:rPr>
          <w:rStyle w:val="FootnoteReference"/>
        </w:rPr>
        <w:footnoteRef/>
      </w:r>
      <w:r>
        <w:t xml:space="preserve"> </w:t>
      </w:r>
      <w:r>
        <w:tab/>
      </w:r>
      <w:r w:rsidRPr="006A2621">
        <w:rPr>
          <w:i/>
          <w:iCs/>
        </w:rPr>
        <w:t>Id</w:t>
      </w:r>
      <w:r>
        <w:t xml:space="preserve">., </w:t>
      </w:r>
      <w:r w:rsidR="00BF3415">
        <w:rPr>
          <w:rFonts w:cs="Times New Roman"/>
        </w:rPr>
        <w:t>§</w:t>
      </w:r>
      <w:r w:rsidR="00BF3415">
        <w:t>12001.</w:t>
      </w:r>
      <w:r>
        <w:t>2.C.</w:t>
      </w:r>
    </w:p>
  </w:footnote>
  <w:footnote w:id="21">
    <w:p w14:paraId="626B22EF" w14:textId="39D0FE30" w:rsidR="00B76610" w:rsidRDefault="00B76610">
      <w:pPr>
        <w:pStyle w:val="FootnoteText"/>
      </w:pPr>
      <w:r>
        <w:rPr>
          <w:rStyle w:val="FootnoteReference"/>
        </w:rPr>
        <w:footnoteRef/>
      </w:r>
      <w:r>
        <w:t xml:space="preserve"> </w:t>
      </w:r>
      <w:r>
        <w:tab/>
      </w:r>
      <w:r w:rsidRPr="006A2621">
        <w:rPr>
          <w:i/>
          <w:iCs/>
        </w:rPr>
        <w:t>Id</w:t>
      </w:r>
      <w:r>
        <w:t xml:space="preserve">., </w:t>
      </w:r>
      <w:r w:rsidR="00BF3415">
        <w:rPr>
          <w:rFonts w:cs="Times New Roman"/>
        </w:rPr>
        <w:t>§</w:t>
      </w:r>
      <w:r w:rsidR="00BF3415">
        <w:t>12001.2</w:t>
      </w:r>
      <w:r>
        <w:t>.D and E.</w:t>
      </w:r>
    </w:p>
  </w:footnote>
  <w:footnote w:id="22">
    <w:p w14:paraId="2FB48075" w14:textId="476C1B67" w:rsidR="009E3419" w:rsidRPr="004D27F6" w:rsidRDefault="009E3419" w:rsidP="009E3419">
      <w:pPr>
        <w:pStyle w:val="Footnote"/>
      </w:pPr>
      <w:r w:rsidRPr="004D27F6">
        <w:rPr>
          <w:rStyle w:val="FootnoteReference"/>
          <w:position w:val="0"/>
          <w:sz w:val="20"/>
        </w:rPr>
        <w:footnoteRef/>
      </w:r>
      <w:r w:rsidRPr="004D27F6">
        <w:t xml:space="preserve"> </w:t>
      </w:r>
      <w:r w:rsidRPr="004D27F6">
        <w:tab/>
      </w:r>
      <w:r w:rsidR="001D6944">
        <w:t xml:space="preserve">On </w:t>
      </w:r>
      <w:r w:rsidRPr="004D27F6">
        <w:t xml:space="preserve">January 1, 2021, Congress </w:t>
      </w:r>
      <w:r>
        <w:t xml:space="preserve">passed the Corporate Transparency act as part of the </w:t>
      </w:r>
      <w:r w:rsidRPr="004D27F6">
        <w:t>Anti-Money Laundering Act of 2020 (“</w:t>
      </w:r>
      <w:r w:rsidRPr="0053115C">
        <w:rPr>
          <w:i/>
          <w:iCs/>
        </w:rPr>
        <w:t>AMLA</w:t>
      </w:r>
      <w:r w:rsidRPr="004D27F6">
        <w:t>”),</w:t>
      </w:r>
      <w:r>
        <w:t xml:space="preserve"> which was included within the </w:t>
      </w:r>
      <w:r w:rsidRPr="004D27F6">
        <w:t>National Defense Authorization Act of 2021 (“</w:t>
      </w:r>
      <w:r w:rsidRPr="0053115C">
        <w:rPr>
          <w:i/>
          <w:iCs/>
        </w:rPr>
        <w:t>NDAA</w:t>
      </w:r>
      <w:r w:rsidRPr="004D27F6">
        <w:t>”)</w:t>
      </w:r>
      <w:r w:rsidR="008E3B8A">
        <w:t xml:space="preserve">; codified at 31 U.S.C. </w:t>
      </w:r>
      <w:r w:rsidR="008E3B8A">
        <w:rPr>
          <w:rFonts w:cs="Times New Roman"/>
        </w:rPr>
        <w:t>§</w:t>
      </w:r>
      <w:r w:rsidR="008E3B8A">
        <w:t>5336</w:t>
      </w:r>
      <w:r w:rsidRPr="004D27F6">
        <w:t xml:space="preserve">. </w:t>
      </w:r>
    </w:p>
  </w:footnote>
  <w:footnote w:id="23">
    <w:p w14:paraId="44A7B133" w14:textId="786E5A6B" w:rsidR="009E1D42" w:rsidRDefault="009E1D42" w:rsidP="009E1D42">
      <w:pPr>
        <w:pStyle w:val="FootnoteText"/>
      </w:pPr>
      <w:r>
        <w:rPr>
          <w:rStyle w:val="FootnoteReference"/>
        </w:rPr>
        <w:footnoteRef/>
      </w:r>
      <w:r>
        <w:t xml:space="preserve"> </w:t>
      </w:r>
      <w:r>
        <w:tab/>
        <w:t>The CTA clearly covers corporations and LLCs and does not cover general partnerships.  It is unclear whether it cover unincorporated associations</w:t>
      </w:r>
      <w:r w:rsidR="00091314">
        <w:t xml:space="preserve"> or </w:t>
      </w:r>
      <w:r>
        <w:t xml:space="preserve">business trusts.  This scope will presumably be defined by regulation.  </w:t>
      </w:r>
    </w:p>
  </w:footnote>
  <w:footnote w:id="24">
    <w:p w14:paraId="7B795132" w14:textId="754513CA" w:rsidR="000527D1" w:rsidRDefault="000527D1">
      <w:pPr>
        <w:pStyle w:val="FootnoteText"/>
      </w:pPr>
      <w:r>
        <w:rPr>
          <w:rStyle w:val="FootnoteReference"/>
        </w:rPr>
        <w:footnoteRef/>
      </w:r>
      <w:r>
        <w:t xml:space="preserve"> </w:t>
      </w:r>
      <w:r>
        <w:tab/>
        <w:t xml:space="preserve">The CTA will expand the lawyer’s “gatekeeper” role when forming new legal entities.  </w:t>
      </w:r>
      <w:r w:rsidR="00C347B4">
        <w:t xml:space="preserve">The lawyer will likely become a company applicant in the reporting company’s filing, will identify the beneficial ownership, and may assume responsibility for filing the report with FinCEN.  </w:t>
      </w:r>
    </w:p>
  </w:footnote>
  <w:footnote w:id="25">
    <w:p w14:paraId="3029289F" w14:textId="40D07F92" w:rsidR="00E321B5" w:rsidRDefault="00E321B5">
      <w:pPr>
        <w:pStyle w:val="FootnoteText"/>
      </w:pPr>
      <w:r>
        <w:rPr>
          <w:rStyle w:val="FootnoteReference"/>
        </w:rPr>
        <w:footnoteRef/>
      </w:r>
      <w:r>
        <w:t xml:space="preserve"> </w:t>
      </w:r>
      <w:r>
        <w:tab/>
      </w:r>
      <w:r w:rsidR="003B203A" w:rsidRPr="003B203A">
        <w:t xml:space="preserve">Office of Representative Carolyn Maloney, Press Release, </w:t>
      </w:r>
      <w:r w:rsidR="003B203A">
        <w:t>“</w:t>
      </w:r>
      <w:r w:rsidR="003B203A" w:rsidRPr="003B203A">
        <w:t>Maloney Celebrates Inclusion of Corporate Transparency Act in FY2021 NOAA</w:t>
      </w:r>
      <w:r w:rsidR="003B203A">
        <w:t>”</w:t>
      </w:r>
      <w:r w:rsidR="003B203A" w:rsidRPr="003B203A">
        <w:t xml:space="preserve"> (Nov. 19, 2020)</w:t>
      </w:r>
      <w:r w:rsidR="003B203A">
        <w:t>.</w:t>
      </w:r>
    </w:p>
  </w:footnote>
  <w:footnote w:id="26">
    <w:p w14:paraId="15AC274D" w14:textId="393BBEF6" w:rsidR="009E1D42" w:rsidRPr="00F9078B" w:rsidRDefault="009E1D42" w:rsidP="009E1D42">
      <w:pPr>
        <w:pStyle w:val="Footnote1"/>
      </w:pPr>
      <w:r w:rsidRPr="00F9078B">
        <w:rPr>
          <w:rStyle w:val="FootnoteReference"/>
        </w:rPr>
        <w:footnoteRef/>
      </w:r>
      <w:r w:rsidRPr="00F9078B">
        <w:t xml:space="preserve"> </w:t>
      </w:r>
      <w:r>
        <w:tab/>
      </w:r>
      <w:r w:rsidRPr="00F9078B">
        <w:t xml:space="preserve">31 C.F.R. </w:t>
      </w:r>
      <w:r>
        <w:t>§</w:t>
      </w:r>
      <w:r w:rsidRPr="00F9078B">
        <w:t>1010.380(c)(1).</w:t>
      </w:r>
      <w:r>
        <w:t xml:space="preserve">  The definition includes legal entities formed or operating under Tribal authority.  Entities exempt from the reporting requirements include:  </w:t>
      </w:r>
      <w:r w:rsidRPr="009E1D42">
        <w:rPr>
          <w:szCs w:val="24"/>
          <w:shd w:val="clear" w:color="auto" w:fill="FFFFFF"/>
        </w:rPr>
        <w:t xml:space="preserve">publicly traded companies, regulated financial institutions or investment companies, insurance companies, public utilities, tax-exempt 501(c) organizations, and </w:t>
      </w:r>
      <w:r>
        <w:rPr>
          <w:szCs w:val="24"/>
          <w:shd w:val="clear" w:color="auto" w:fill="FFFFFF"/>
        </w:rPr>
        <w:t xml:space="preserve">operating </w:t>
      </w:r>
      <w:r w:rsidRPr="009E1D42">
        <w:rPr>
          <w:szCs w:val="24"/>
          <w:shd w:val="clear" w:color="auto" w:fill="FFFFFF"/>
        </w:rPr>
        <w:t>entities with a physical presence in the United States, employing more than 20 people, and having filed Federal income tax returns showing more than $5,000,000 in revenue</w:t>
      </w:r>
      <w:r>
        <w:rPr>
          <w:szCs w:val="24"/>
          <w:shd w:val="clear" w:color="auto" w:fill="FFFFFF"/>
        </w:rPr>
        <w:t xml:space="preserve">.  </w:t>
      </w:r>
      <w:r>
        <w:t xml:space="preserve">31 U.S.C. §5336(a)(11)(B).  </w:t>
      </w:r>
      <w:r w:rsidR="000862B6">
        <w:rPr>
          <w:szCs w:val="24"/>
          <w:shd w:val="clear" w:color="auto" w:fill="FFFFFF"/>
        </w:rPr>
        <w:t xml:space="preserve">Subsidiaries of exempt entities and inactive entities are also exempt.  </w:t>
      </w:r>
      <w:r>
        <w:t xml:space="preserve">Note that the exemption for operating companies </w:t>
      </w:r>
      <w:r w:rsidR="000862B6">
        <w:t xml:space="preserve">covers only existing companies and </w:t>
      </w:r>
      <w:r>
        <w:t>would not apply to newly formed entities.</w:t>
      </w:r>
    </w:p>
  </w:footnote>
  <w:footnote w:id="27">
    <w:p w14:paraId="086C80F4" w14:textId="77777777" w:rsidR="009E1D42" w:rsidRPr="00F9078B" w:rsidRDefault="009E1D42" w:rsidP="009E1D42">
      <w:pPr>
        <w:pStyle w:val="Footnote1"/>
      </w:pPr>
      <w:r w:rsidRPr="00F9078B">
        <w:rPr>
          <w:rStyle w:val="FootnoteReference"/>
        </w:rPr>
        <w:footnoteRef/>
      </w:r>
      <w:r w:rsidRPr="00F9078B">
        <w:t xml:space="preserve"> </w:t>
      </w:r>
      <w:r>
        <w:tab/>
      </w:r>
      <w:r w:rsidRPr="00F9078B">
        <w:rPr>
          <w:i/>
          <w:iCs/>
        </w:rPr>
        <w:t>Id</w:t>
      </w:r>
      <w:r w:rsidRPr="00F9078B">
        <w:t>.</w:t>
      </w:r>
    </w:p>
  </w:footnote>
  <w:footnote w:id="28">
    <w:p w14:paraId="459BCB29" w14:textId="77777777" w:rsidR="009E1D42" w:rsidRDefault="009E1D42" w:rsidP="009E1D42">
      <w:pPr>
        <w:pStyle w:val="Footnote"/>
        <w:ind w:right="360"/>
      </w:pPr>
      <w:r>
        <w:rPr>
          <w:rStyle w:val="FootnoteReference"/>
        </w:rPr>
        <w:footnoteRef/>
      </w:r>
      <w:r>
        <w:t xml:space="preserve"> </w:t>
      </w:r>
      <w:r>
        <w:tab/>
      </w:r>
      <w:r w:rsidRPr="00926AAB">
        <w:rPr>
          <w:i/>
          <w:iCs/>
        </w:rPr>
        <w:t>See</w:t>
      </w:r>
      <w:r>
        <w:t xml:space="preserve"> Final Rule, Section I, footnote 21, and Section V. </w:t>
      </w:r>
    </w:p>
  </w:footnote>
  <w:footnote w:id="29">
    <w:p w14:paraId="3DEA3A8D" w14:textId="28BA3A04" w:rsidR="001D1259" w:rsidRPr="00B9300E" w:rsidRDefault="001D1259">
      <w:pPr>
        <w:pStyle w:val="FootnoteText"/>
        <w:rPr>
          <w:rFonts w:cs="Times New Roman"/>
        </w:rPr>
      </w:pPr>
      <w:r>
        <w:rPr>
          <w:rStyle w:val="FootnoteReference"/>
        </w:rPr>
        <w:footnoteRef/>
      </w:r>
      <w:r>
        <w:t xml:space="preserve"> </w:t>
      </w:r>
      <w:r>
        <w:tab/>
      </w:r>
      <w:r w:rsidR="006E16ED">
        <w:t>Determining 25% or more of the ownership interest is relatively easy with a single class of interest.  For entities with multiple classes of interest</w:t>
      </w:r>
      <w:r w:rsidR="005C3C81">
        <w:t>s</w:t>
      </w:r>
      <w:r w:rsidR="006E16ED">
        <w:t xml:space="preserve">, distribution preferences and varying voting and consent provisions, the determination is more difficult. </w:t>
      </w:r>
      <w:r w:rsidR="00B9300E">
        <w:t xml:space="preserve"> </w:t>
      </w:r>
      <w:r w:rsidR="00E851C3" w:rsidRPr="00B9300E">
        <w:rPr>
          <w:rFonts w:eastAsia="Times New Roman" w:cs="Times New Roman"/>
          <w:i/>
          <w:iCs/>
        </w:rPr>
        <w:t>See</w:t>
      </w:r>
      <w:r w:rsidR="00E851C3">
        <w:rPr>
          <w:rFonts w:eastAsia="Times New Roman" w:cs="Times New Roman"/>
        </w:rPr>
        <w:t xml:space="preserve"> </w:t>
      </w:r>
      <w:r w:rsidR="00E851C3" w:rsidRPr="00B9300E">
        <w:rPr>
          <w:rFonts w:eastAsia="Times New Roman" w:cs="Times New Roman"/>
        </w:rPr>
        <w:t>31 C</w:t>
      </w:r>
      <w:r w:rsidR="00E851C3">
        <w:rPr>
          <w:rFonts w:eastAsia="Times New Roman" w:cs="Times New Roman"/>
        </w:rPr>
        <w:t>.</w:t>
      </w:r>
      <w:r w:rsidR="00E851C3" w:rsidRPr="00B9300E">
        <w:rPr>
          <w:rFonts w:eastAsia="Times New Roman" w:cs="Times New Roman"/>
        </w:rPr>
        <w:t>F</w:t>
      </w:r>
      <w:r w:rsidR="00E851C3">
        <w:rPr>
          <w:rFonts w:eastAsia="Times New Roman" w:cs="Times New Roman"/>
        </w:rPr>
        <w:t>.</w:t>
      </w:r>
      <w:r w:rsidR="00E851C3" w:rsidRPr="00B9300E">
        <w:rPr>
          <w:rFonts w:eastAsia="Times New Roman" w:cs="Times New Roman"/>
        </w:rPr>
        <w:t>R</w:t>
      </w:r>
      <w:r w:rsidR="00E851C3">
        <w:rPr>
          <w:rFonts w:eastAsia="Times New Roman" w:cs="Times New Roman"/>
        </w:rPr>
        <w:t>.</w:t>
      </w:r>
      <w:r w:rsidR="00E851C3" w:rsidRPr="00B9300E">
        <w:rPr>
          <w:rFonts w:eastAsia="Times New Roman" w:cs="Times New Roman"/>
        </w:rPr>
        <w:t xml:space="preserve"> </w:t>
      </w:r>
      <w:r w:rsidR="00E851C3">
        <w:t>§</w:t>
      </w:r>
      <w:r w:rsidR="00E851C3" w:rsidRPr="00B9300E">
        <w:rPr>
          <w:rFonts w:eastAsia="Times New Roman" w:cs="Times New Roman"/>
        </w:rPr>
        <w:t>1010.380(d)(</w:t>
      </w:r>
      <w:r w:rsidR="00E851C3">
        <w:rPr>
          <w:rFonts w:eastAsia="Times New Roman" w:cs="Times New Roman"/>
        </w:rPr>
        <w:t>3</w:t>
      </w:r>
      <w:r w:rsidR="00E851C3" w:rsidRPr="00B9300E">
        <w:rPr>
          <w:rFonts w:eastAsia="Times New Roman" w:cs="Times New Roman"/>
        </w:rPr>
        <w:t>)</w:t>
      </w:r>
      <w:r w:rsidR="00E851C3">
        <w:rPr>
          <w:rFonts w:eastAsia="Times New Roman" w:cs="Times New Roman"/>
        </w:rPr>
        <w:t xml:space="preserve"> for examples.  </w:t>
      </w:r>
      <w:r w:rsidR="00B9300E">
        <w:t xml:space="preserve">For ownership by trusts, the </w:t>
      </w:r>
      <w:r w:rsidR="00B9300E" w:rsidRPr="00B9300E">
        <w:rPr>
          <w:rFonts w:cs="Times New Roman"/>
        </w:rPr>
        <w:t xml:space="preserve">ownership could be attributed to the grantor, the trustee and the beneficiaries. </w:t>
      </w:r>
      <w:r w:rsidR="00B9300E">
        <w:rPr>
          <w:rFonts w:cs="Times New Roman"/>
        </w:rPr>
        <w:t xml:space="preserve"> </w:t>
      </w:r>
      <w:r w:rsidR="00B9300E" w:rsidRPr="00B9300E">
        <w:rPr>
          <w:rFonts w:eastAsia="Times New Roman" w:cs="Times New Roman"/>
          <w:i/>
          <w:iCs/>
        </w:rPr>
        <w:t>See</w:t>
      </w:r>
      <w:r w:rsidR="00E851C3">
        <w:rPr>
          <w:rFonts w:eastAsia="Times New Roman" w:cs="Times New Roman"/>
          <w:i/>
          <w:iCs/>
        </w:rPr>
        <w:t xml:space="preserve"> id.</w:t>
      </w:r>
      <w:r w:rsidR="00B9300E">
        <w:rPr>
          <w:rFonts w:eastAsia="Times New Roman" w:cs="Times New Roman"/>
        </w:rPr>
        <w:t xml:space="preserve"> </w:t>
      </w:r>
      <w:r w:rsidR="00E851C3">
        <w:rPr>
          <w:rFonts w:eastAsia="Times New Roman" w:cs="Times New Roman"/>
        </w:rPr>
        <w:t xml:space="preserve">at </w:t>
      </w:r>
      <w:r w:rsidR="00B9300E" w:rsidRPr="00B9300E">
        <w:rPr>
          <w:rFonts w:eastAsia="Times New Roman" w:cs="Times New Roman"/>
        </w:rPr>
        <w:t>(d)(2)(ii).</w:t>
      </w:r>
    </w:p>
  </w:footnote>
  <w:footnote w:id="30">
    <w:p w14:paraId="59B272E3" w14:textId="12AEA573" w:rsidR="00C402B9" w:rsidRDefault="00C402B9">
      <w:pPr>
        <w:pStyle w:val="FootnoteText"/>
      </w:pPr>
      <w:r>
        <w:rPr>
          <w:rStyle w:val="FootnoteReference"/>
        </w:rPr>
        <w:footnoteRef/>
      </w:r>
      <w:r>
        <w:t xml:space="preserve"> </w:t>
      </w:r>
      <w:r>
        <w:tab/>
      </w:r>
      <w:r w:rsidR="00B9300E" w:rsidRPr="002D72AB">
        <w:rPr>
          <w:i/>
          <w:iCs/>
        </w:rPr>
        <w:t>Id.</w:t>
      </w:r>
      <w:r w:rsidR="00B9300E">
        <w:t xml:space="preserve"> at</w:t>
      </w:r>
      <w:r w:rsidR="00B9300E" w:rsidRPr="00F9078B">
        <w:t xml:space="preserve"> </w:t>
      </w:r>
      <w:r w:rsidRPr="00F9078B">
        <w:t>(</w:t>
      </w:r>
      <w:r>
        <w:t>d</w:t>
      </w:r>
      <w:r w:rsidRPr="00F9078B">
        <w:t>)</w:t>
      </w:r>
      <w:r>
        <w:t>(1).</w:t>
      </w:r>
    </w:p>
  </w:footnote>
  <w:footnote w:id="31">
    <w:p w14:paraId="0FE1B7AF" w14:textId="616BDD48" w:rsidR="00B41FC1" w:rsidRDefault="00B41FC1">
      <w:pPr>
        <w:pStyle w:val="FootnoteText"/>
      </w:pPr>
      <w:r>
        <w:rPr>
          <w:rStyle w:val="FootnoteReference"/>
        </w:rPr>
        <w:footnoteRef/>
      </w:r>
      <w:r>
        <w:t xml:space="preserve"> </w:t>
      </w:r>
      <w:r>
        <w:tab/>
      </w:r>
      <w:r w:rsidR="002D72AB" w:rsidRPr="002D72AB">
        <w:rPr>
          <w:i/>
          <w:iCs/>
        </w:rPr>
        <w:t>Id.</w:t>
      </w:r>
      <w:r w:rsidR="002D72AB">
        <w:t xml:space="preserve"> at</w:t>
      </w:r>
      <w:r w:rsidR="002D72AB" w:rsidRPr="00F9078B">
        <w:t xml:space="preserve"> (</w:t>
      </w:r>
      <w:r w:rsidR="002D72AB">
        <w:t>f</w:t>
      </w:r>
      <w:r w:rsidR="002D72AB" w:rsidRPr="00F9078B">
        <w:t>)</w:t>
      </w:r>
      <w:r w:rsidR="002D72AB">
        <w:t>(8).</w:t>
      </w:r>
    </w:p>
  </w:footnote>
  <w:footnote w:id="32">
    <w:p w14:paraId="1B112260" w14:textId="5AEAC0AC" w:rsidR="00C402B9" w:rsidRDefault="00C402B9">
      <w:pPr>
        <w:pStyle w:val="FootnoteText"/>
      </w:pPr>
      <w:r>
        <w:rPr>
          <w:rStyle w:val="FootnoteReference"/>
        </w:rPr>
        <w:footnoteRef/>
      </w:r>
      <w:r>
        <w:t xml:space="preserve"> </w:t>
      </w:r>
      <w:r>
        <w:tab/>
      </w:r>
      <w:r w:rsidR="002D72AB" w:rsidRPr="002D72AB">
        <w:rPr>
          <w:i/>
          <w:iCs/>
        </w:rPr>
        <w:t>Id.</w:t>
      </w:r>
      <w:r w:rsidR="002D72AB">
        <w:t xml:space="preserve"> at</w:t>
      </w:r>
      <w:r w:rsidR="002D72AB" w:rsidRPr="00F9078B">
        <w:t xml:space="preserve"> </w:t>
      </w:r>
      <w:r w:rsidRPr="00F9078B">
        <w:t>(</w:t>
      </w:r>
      <w:r>
        <w:t>d</w:t>
      </w:r>
      <w:r w:rsidRPr="00F9078B">
        <w:t>)</w:t>
      </w:r>
      <w:r>
        <w:t>(3).</w:t>
      </w:r>
    </w:p>
  </w:footnote>
  <w:footnote w:id="33">
    <w:p w14:paraId="175B7310" w14:textId="401EAA1A" w:rsidR="00DA428D" w:rsidRDefault="00DA428D">
      <w:pPr>
        <w:pStyle w:val="FootnoteText"/>
      </w:pPr>
      <w:r>
        <w:rPr>
          <w:rStyle w:val="FootnoteReference"/>
        </w:rPr>
        <w:footnoteRef/>
      </w:r>
      <w:r>
        <w:t xml:space="preserve"> </w:t>
      </w:r>
      <w:r>
        <w:tab/>
      </w:r>
      <w:r w:rsidRPr="00F9078B">
        <w:t xml:space="preserve">31 C.F.R. </w:t>
      </w:r>
      <w:r>
        <w:t>§</w:t>
      </w:r>
      <w:r w:rsidRPr="00F9078B">
        <w:t>1010.380(</w:t>
      </w:r>
      <w:r>
        <w:t>e</w:t>
      </w:r>
      <w:r w:rsidRPr="00F9078B">
        <w:t>)</w:t>
      </w:r>
      <w:r>
        <w:t>.</w:t>
      </w:r>
    </w:p>
  </w:footnote>
  <w:footnote w:id="34">
    <w:p w14:paraId="0013597E" w14:textId="13D56AAD" w:rsidR="00DA428D" w:rsidRDefault="00DA428D">
      <w:pPr>
        <w:pStyle w:val="FootnoteText"/>
      </w:pPr>
      <w:r>
        <w:rPr>
          <w:rStyle w:val="FootnoteReference"/>
        </w:rPr>
        <w:footnoteRef/>
      </w:r>
      <w:r>
        <w:t xml:space="preserve"> </w:t>
      </w:r>
      <w:r>
        <w:tab/>
      </w:r>
      <w:r w:rsidRPr="00DA428D">
        <w:rPr>
          <w:i/>
          <w:iCs/>
        </w:rPr>
        <w:t>Id</w:t>
      </w:r>
      <w:r>
        <w:t xml:space="preserve">. </w:t>
      </w:r>
    </w:p>
  </w:footnote>
  <w:footnote w:id="35">
    <w:p w14:paraId="0FBD833B" w14:textId="5750BBB7" w:rsidR="00797E18" w:rsidRDefault="00797E18">
      <w:pPr>
        <w:pStyle w:val="FootnoteText"/>
      </w:pPr>
      <w:r>
        <w:rPr>
          <w:rStyle w:val="FootnoteReference"/>
        </w:rPr>
        <w:footnoteRef/>
      </w:r>
      <w:r>
        <w:t xml:space="preserve"> </w:t>
      </w:r>
      <w:r>
        <w:tab/>
      </w:r>
      <w:r w:rsidRPr="00F9078B">
        <w:t xml:space="preserve">31 C.F.R. </w:t>
      </w:r>
      <w:r>
        <w:t>§</w:t>
      </w:r>
      <w:r w:rsidRPr="00F9078B">
        <w:t>1010.380(</w:t>
      </w:r>
      <w:r>
        <w:t>b</w:t>
      </w:r>
      <w:r w:rsidRPr="00F9078B">
        <w:t>)</w:t>
      </w:r>
      <w:r>
        <w:t>.</w:t>
      </w:r>
      <w:r w:rsidR="00B63A11">
        <w:t xml:space="preserve">  FinCEN requires an image of the identifying document because altering the image to falsify the information would be more difficult than entering an incorrect number.  The image will also capture the likeness of the individual since the identifying document would have the individual’s picture.  An individual’s social security card is not an acceptable identifying document. </w:t>
      </w:r>
    </w:p>
  </w:footnote>
  <w:footnote w:id="36">
    <w:p w14:paraId="47340A30" w14:textId="184E995C" w:rsidR="006A5493" w:rsidRDefault="006A5493" w:rsidP="006A5493">
      <w:pPr>
        <w:pStyle w:val="FootnoteText"/>
      </w:pPr>
      <w:r>
        <w:rPr>
          <w:rStyle w:val="FootnoteReference"/>
        </w:rPr>
        <w:footnoteRef/>
      </w:r>
      <w:r>
        <w:t xml:space="preserve"> </w:t>
      </w:r>
      <w:r>
        <w:tab/>
      </w:r>
      <w:r w:rsidR="00797E18" w:rsidRPr="00797E18">
        <w:rPr>
          <w:i/>
          <w:iCs/>
        </w:rPr>
        <w:t>Id.</w:t>
      </w:r>
      <w:r w:rsidR="00797E18">
        <w:t xml:space="preserve"> at </w:t>
      </w:r>
      <w:r w:rsidRPr="00F9078B">
        <w:t>(</w:t>
      </w:r>
      <w:r>
        <w:t>a</w:t>
      </w:r>
      <w:r w:rsidRPr="00F9078B">
        <w:t>)</w:t>
      </w:r>
      <w:r>
        <w:t>(1)</w:t>
      </w:r>
      <w:r w:rsidRPr="00F9078B">
        <w:t>.</w:t>
      </w:r>
      <w:r>
        <w:t xml:space="preserve"> </w:t>
      </w:r>
    </w:p>
  </w:footnote>
  <w:footnote w:id="37">
    <w:p w14:paraId="66FE4814" w14:textId="37EE5FA4" w:rsidR="006A5493" w:rsidRDefault="006A5493">
      <w:pPr>
        <w:pStyle w:val="FootnoteText"/>
      </w:pPr>
      <w:r>
        <w:rPr>
          <w:rStyle w:val="FootnoteReference"/>
        </w:rPr>
        <w:footnoteRef/>
      </w:r>
      <w:r>
        <w:t xml:space="preserve"> </w:t>
      </w:r>
      <w:r>
        <w:tab/>
      </w:r>
      <w:r w:rsidRPr="006A5493">
        <w:rPr>
          <w:i/>
          <w:iCs/>
        </w:rPr>
        <w:t>Id</w:t>
      </w:r>
      <w:r>
        <w:t xml:space="preserve">. at </w:t>
      </w:r>
      <w:r w:rsidRPr="00F9078B">
        <w:t>(</w:t>
      </w:r>
      <w:r>
        <w:t>a</w:t>
      </w:r>
      <w:r w:rsidRPr="00F9078B">
        <w:t>)</w:t>
      </w:r>
      <w:r>
        <w:t>(2).</w:t>
      </w:r>
    </w:p>
  </w:footnote>
  <w:footnote w:id="38">
    <w:p w14:paraId="2B69B222" w14:textId="77777777" w:rsidR="00474170" w:rsidRDefault="00474170" w:rsidP="00474170">
      <w:pPr>
        <w:pStyle w:val="FootnoteText"/>
      </w:pPr>
      <w:r>
        <w:rPr>
          <w:rStyle w:val="FootnoteReference"/>
        </w:rPr>
        <w:footnoteRef/>
      </w:r>
      <w:r>
        <w:t xml:space="preserve"> </w:t>
      </w:r>
      <w:r>
        <w:tab/>
        <w:t>The CTA rules will largely replace the customer due diligence rules applicable to f</w:t>
      </w:r>
      <w:r w:rsidRPr="00E52AEB">
        <w:t xml:space="preserve">inancial institutions </w:t>
      </w:r>
      <w:r>
        <w:t xml:space="preserve">under </w:t>
      </w:r>
      <w:r w:rsidRPr="00E52AEB">
        <w:t>the Bank Secrecy Act</w:t>
      </w:r>
      <w:r>
        <w:t xml:space="preserve">.  The financial institutions will be required to collect the beneficial ownership information, but will do so electronically through the FinCEN database.  </w:t>
      </w:r>
    </w:p>
  </w:footnote>
  <w:footnote w:id="39">
    <w:p w14:paraId="10E388B6" w14:textId="77777777" w:rsidR="00474170" w:rsidRDefault="00474170" w:rsidP="00474170">
      <w:pPr>
        <w:pStyle w:val="FootnoteText"/>
      </w:pPr>
      <w:r>
        <w:rPr>
          <w:rStyle w:val="FootnoteReference"/>
        </w:rPr>
        <w:footnoteRef/>
      </w:r>
      <w:r>
        <w:t xml:space="preserve"> </w:t>
      </w:r>
      <w:r>
        <w:tab/>
      </w:r>
      <w:r w:rsidRPr="009A77A5">
        <w:rPr>
          <w:i/>
          <w:iCs/>
        </w:rPr>
        <w:t xml:space="preserve">Supra </w:t>
      </w:r>
      <w:r w:rsidRPr="001D6944">
        <w:t>at</w:t>
      </w:r>
      <w:r>
        <w:t xml:space="preserve"> </w:t>
      </w:r>
      <w:r>
        <w:rPr>
          <w:rFonts w:cs="Times New Roman"/>
        </w:rPr>
        <w:t>§</w:t>
      </w:r>
      <w:r>
        <w:t>5336(c)(2).</w:t>
      </w:r>
    </w:p>
  </w:footnote>
  <w:footnote w:id="40">
    <w:p w14:paraId="0DF4A794" w14:textId="23A85CF1" w:rsidR="000527D1" w:rsidRDefault="000527D1" w:rsidP="000527D1">
      <w:pPr>
        <w:pStyle w:val="FootnoteText"/>
      </w:pPr>
      <w:r>
        <w:rPr>
          <w:rStyle w:val="FootnoteReference"/>
        </w:rPr>
        <w:footnoteRef/>
      </w:r>
      <w:r>
        <w:t xml:space="preserve"> </w:t>
      </w:r>
      <w:r>
        <w:tab/>
      </w:r>
      <w:r w:rsidR="00640474">
        <w:rPr>
          <w:i/>
          <w:iCs/>
        </w:rPr>
        <w:t xml:space="preserve">Id. </w:t>
      </w:r>
      <w:r>
        <w:t xml:space="preserve">at </w:t>
      </w:r>
      <w:r>
        <w:rPr>
          <w:rFonts w:cs="Times New Roman"/>
        </w:rPr>
        <w:t>§</w:t>
      </w:r>
      <w:r>
        <w:t>5336(h)(3)(A).</w:t>
      </w:r>
    </w:p>
  </w:footnote>
  <w:footnote w:id="41">
    <w:p w14:paraId="4CB1610E" w14:textId="77777777" w:rsidR="000527D1" w:rsidRDefault="000527D1" w:rsidP="000527D1">
      <w:pPr>
        <w:pStyle w:val="Footnote"/>
        <w:ind w:right="360"/>
      </w:pPr>
      <w:r>
        <w:rPr>
          <w:rStyle w:val="FootnoteReference"/>
        </w:rPr>
        <w:footnoteRef/>
      </w:r>
      <w:r>
        <w:t xml:space="preserve"> </w:t>
      </w:r>
      <w:r>
        <w:tab/>
      </w:r>
      <w:r w:rsidRPr="00333CFF">
        <w:rPr>
          <w:i/>
          <w:iCs/>
        </w:rPr>
        <w:t>See</w:t>
      </w:r>
      <w:r>
        <w:t xml:space="preserve"> Rule 1.1 (Competence) and Comment 1.1(6) of the Oklahoma Rules of Professional Conduct (“</w:t>
      </w:r>
      <w:r w:rsidRPr="00011A9C">
        <w:rPr>
          <w:i/>
          <w:iCs/>
        </w:rPr>
        <w:t>ORPC</w:t>
      </w:r>
      <w:r>
        <w:t xml:space="preserve">”), 5 O.S. </w:t>
      </w:r>
      <w:r>
        <w:rPr>
          <w:rFonts w:cs="Times New Roman"/>
        </w:rPr>
        <w:t>Chap. 1, App. 3-A</w:t>
      </w:r>
      <w:r>
        <w:t xml:space="preserve">.  </w:t>
      </w:r>
    </w:p>
  </w:footnote>
  <w:footnote w:id="42">
    <w:p w14:paraId="4BE52E93" w14:textId="77777777" w:rsidR="000527D1" w:rsidRDefault="000527D1" w:rsidP="000527D1">
      <w:pPr>
        <w:pStyle w:val="Footnote"/>
        <w:ind w:right="360"/>
      </w:pPr>
      <w:r>
        <w:rPr>
          <w:rStyle w:val="FootnoteReference"/>
        </w:rPr>
        <w:footnoteRef/>
      </w:r>
      <w:r>
        <w:t xml:space="preserve"> </w:t>
      </w:r>
      <w:r>
        <w:tab/>
      </w:r>
      <w:r w:rsidRPr="00AA5D11">
        <w:rPr>
          <w:i/>
          <w:iCs/>
        </w:rPr>
        <w:t>Id.</w:t>
      </w:r>
      <w:r>
        <w:t xml:space="preserve"> Rule 1.4 (Communication).</w:t>
      </w:r>
    </w:p>
  </w:footnote>
  <w:footnote w:id="43">
    <w:p w14:paraId="65411A45" w14:textId="75A16FD2" w:rsidR="000527D1" w:rsidRDefault="000527D1" w:rsidP="000527D1">
      <w:pPr>
        <w:pStyle w:val="Footnote"/>
        <w:ind w:right="360"/>
      </w:pPr>
      <w:r>
        <w:rPr>
          <w:rStyle w:val="FootnoteReference"/>
        </w:rPr>
        <w:footnoteRef/>
      </w:r>
      <w:r>
        <w:t xml:space="preserve"> </w:t>
      </w:r>
      <w:r>
        <w:tab/>
        <w:t>T</w:t>
      </w:r>
      <w:r>
        <w:rPr>
          <w:rFonts w:cs="Times New Roman"/>
          <w:szCs w:val="24"/>
        </w:rPr>
        <w:t xml:space="preserve">he CTA application to existing entities is a transitional feature.  Once existing entities have reported to the FinCEN database, only new entities or entities with amendments will report.  The lawyers’ need to inform existing clients is likewise a one-time event.  That is not to downplay the reporting by existing entities.  FinCEN estimates that there are approximately 32.6 million entities currently operating within the U.S. that will be subject to reporting.  </w:t>
      </w:r>
      <w:r w:rsidRPr="00926AAB">
        <w:rPr>
          <w:i/>
          <w:iCs/>
        </w:rPr>
        <w:t>See</w:t>
      </w:r>
      <w:r>
        <w:t xml:space="preserve"> Final Rule, Section I, footnote 21, and Section V. </w:t>
      </w:r>
    </w:p>
  </w:footnote>
  <w:footnote w:id="44">
    <w:p w14:paraId="0D99A529" w14:textId="77777777" w:rsidR="000527D1" w:rsidRDefault="000527D1" w:rsidP="000527D1">
      <w:pPr>
        <w:pStyle w:val="Footnote"/>
        <w:ind w:right="360"/>
      </w:pPr>
      <w:r>
        <w:rPr>
          <w:rStyle w:val="FootnoteReference"/>
        </w:rPr>
        <w:footnoteRef/>
      </w:r>
      <w:r>
        <w:t xml:space="preserve"> </w:t>
      </w:r>
      <w:r>
        <w:tab/>
      </w:r>
      <w:r w:rsidRPr="00F10EFD">
        <w:rPr>
          <w:i/>
          <w:iCs/>
        </w:rPr>
        <w:t>Id.</w:t>
      </w:r>
      <w:r>
        <w:t xml:space="preserve"> Comment 1.4(5) </w:t>
      </w:r>
      <w:r>
        <w:rPr>
          <w:shd w:val="clear" w:color="auto" w:fill="FFFFFF"/>
        </w:rPr>
        <w:t>(“The guiding principle is that the lawyer should fulfill reasonable client expectations for information consistent with the duty to act in the client's best interests, and the client's overall requirements as to the character of representation.”)</w:t>
      </w:r>
    </w:p>
  </w:footnote>
  <w:footnote w:id="45">
    <w:p w14:paraId="30F36268" w14:textId="4CE4BAE1" w:rsidR="006E0BFC" w:rsidRDefault="006E0BFC" w:rsidP="006E0BFC">
      <w:pPr>
        <w:pStyle w:val="Footnote"/>
        <w:ind w:right="360"/>
      </w:pPr>
      <w:r>
        <w:rPr>
          <w:rStyle w:val="FootnoteReference"/>
        </w:rPr>
        <w:footnoteRef/>
      </w:r>
      <w:r>
        <w:t xml:space="preserve"> </w:t>
      </w:r>
      <w:r>
        <w:tab/>
        <w:t xml:space="preserve">The client would presumably be responsible for updating reports.  But </w:t>
      </w:r>
      <w:r>
        <w:rPr>
          <w:rFonts w:eastAsia="Times New Roman" w:cs="Times New Roman"/>
          <w:color w:val="000000" w:themeColor="text1"/>
          <w:szCs w:val="24"/>
        </w:rPr>
        <w:t>lawyers may undertake to remind clients periodically of their duty to update.  Alternatively, the e</w:t>
      </w:r>
      <w:r w:rsidRPr="00563DB2">
        <w:rPr>
          <w:rFonts w:cs="Times New Roman"/>
          <w:szCs w:val="24"/>
        </w:rPr>
        <w:t xml:space="preserve">ngagement letter </w:t>
      </w:r>
      <w:r>
        <w:rPr>
          <w:rFonts w:cs="Times New Roman"/>
          <w:szCs w:val="24"/>
        </w:rPr>
        <w:t xml:space="preserve">could </w:t>
      </w:r>
      <w:r w:rsidRPr="00563DB2">
        <w:rPr>
          <w:rFonts w:cs="Times New Roman"/>
          <w:szCs w:val="24"/>
        </w:rPr>
        <w:t xml:space="preserve">specifically negate </w:t>
      </w:r>
      <w:r>
        <w:rPr>
          <w:rFonts w:cs="Times New Roman"/>
          <w:szCs w:val="24"/>
        </w:rPr>
        <w:t xml:space="preserve">any </w:t>
      </w:r>
      <w:r w:rsidRPr="00563DB2">
        <w:rPr>
          <w:rFonts w:cs="Times New Roman"/>
          <w:szCs w:val="24"/>
        </w:rPr>
        <w:t>obligation of a lawyer to verify or update beneficial ownership</w:t>
      </w:r>
      <w:r>
        <w:rPr>
          <w:rFonts w:cs="Times New Roman"/>
          <w:szCs w:val="24"/>
        </w:rPr>
        <w:t>.</w:t>
      </w:r>
    </w:p>
  </w:footnote>
  <w:footnote w:id="46">
    <w:p w14:paraId="180D83F0" w14:textId="78798153" w:rsidR="00F67D77" w:rsidRDefault="00F67D77" w:rsidP="00F67D77">
      <w:pPr>
        <w:pStyle w:val="Footnote1"/>
      </w:pPr>
      <w:r>
        <w:rPr>
          <w:rStyle w:val="FootnoteReference"/>
        </w:rPr>
        <w:footnoteRef/>
      </w:r>
      <w:r>
        <w:t xml:space="preserve"> </w:t>
      </w:r>
      <w:r>
        <w:tab/>
      </w:r>
      <w:r w:rsidRPr="00F67D77">
        <w:rPr>
          <w:i/>
          <w:iCs/>
        </w:rPr>
        <w:t>See gen</w:t>
      </w:r>
      <w:r>
        <w:t>., B</w:t>
      </w:r>
      <w:r w:rsidRPr="00F67D77">
        <w:rPr>
          <w:shd w:val="clear" w:color="auto" w:fill="FFFFFF"/>
        </w:rPr>
        <w:t xml:space="preserve">rad Eric Scheler, Gary L. Kaplan, and Jennifer L. Rodburg, Fried, Frank, Harris, Shriver &amp; Jacobson LLP, </w:t>
      </w:r>
      <w:r>
        <w:rPr>
          <w:shd w:val="clear" w:color="auto" w:fill="FFFFFF"/>
        </w:rPr>
        <w:t>“Director Fiduciary Dut</w:t>
      </w:r>
      <w:r w:rsidR="000F090E">
        <w:rPr>
          <w:shd w:val="clear" w:color="auto" w:fill="FFFFFF"/>
        </w:rPr>
        <w:t>y</w:t>
      </w:r>
      <w:r>
        <w:rPr>
          <w:shd w:val="clear" w:color="auto" w:fill="FFFFFF"/>
        </w:rPr>
        <w:t xml:space="preserve"> in Insolvency”, posted to the blog </w:t>
      </w:r>
      <w:r w:rsidRPr="000F090E">
        <w:rPr>
          <w:i/>
          <w:iCs/>
          <w:shd w:val="clear" w:color="auto" w:fill="FFFFFF"/>
        </w:rPr>
        <w:t>Harvard</w:t>
      </w:r>
      <w:r w:rsidR="000F090E" w:rsidRPr="000F090E">
        <w:rPr>
          <w:i/>
          <w:iCs/>
          <w:shd w:val="clear" w:color="auto" w:fill="FFFFFF"/>
        </w:rPr>
        <w:t xml:space="preserve"> Law School Forum on Corporate Governance</w:t>
      </w:r>
      <w:r w:rsidR="000F090E">
        <w:rPr>
          <w:shd w:val="clear" w:color="auto" w:fill="FFFFFF"/>
        </w:rPr>
        <w:t xml:space="preserve"> </w:t>
      </w:r>
      <w:r>
        <w:rPr>
          <w:shd w:val="clear" w:color="auto" w:fill="FFFFFF"/>
        </w:rPr>
        <w:t>(</w:t>
      </w:r>
      <w:r w:rsidRPr="00F67D77">
        <w:rPr>
          <w:shd w:val="clear" w:color="auto" w:fill="FFFFFF"/>
        </w:rPr>
        <w:t>Apr</w:t>
      </w:r>
      <w:r>
        <w:rPr>
          <w:shd w:val="clear" w:color="auto" w:fill="FFFFFF"/>
        </w:rPr>
        <w:t>. </w:t>
      </w:r>
      <w:r w:rsidRPr="00F67D77">
        <w:rPr>
          <w:shd w:val="clear" w:color="auto" w:fill="FFFFFF"/>
        </w:rPr>
        <w:t>15, 2020</w:t>
      </w:r>
      <w:r>
        <w:rPr>
          <w:shd w:val="clear" w:color="auto" w:fill="FFFFFF"/>
        </w:rPr>
        <w:t>)</w:t>
      </w:r>
      <w:r w:rsidR="000F090E">
        <w:rPr>
          <w:shd w:val="clear" w:color="auto" w:fill="FFFFFF"/>
        </w:rPr>
        <w:t xml:space="preserve"> (</w:t>
      </w:r>
      <w:r w:rsidR="000F090E" w:rsidRPr="000E27C4">
        <w:rPr>
          <w:shd w:val="clear" w:color="auto" w:fill="FFFFFF"/>
        </w:rPr>
        <w:t>https://corpgov.law.harvard.edu/2020/04/15/director-fiduciary-duty-in-insolvency/</w:t>
      </w:r>
      <w:r w:rsidR="000F090E">
        <w:rPr>
          <w:shd w:val="clear" w:color="auto" w:fill="FFFFFF"/>
        </w:rPr>
        <w:t xml:space="preserve">) (noting that Delaware courts have rejected the notion that fiduciary duties shift when a company reaches the “zone of insolvency”.  Upon actual insolvency, the duty may expand to </w:t>
      </w:r>
      <w:r w:rsidR="001F532C">
        <w:rPr>
          <w:shd w:val="clear" w:color="auto" w:fill="FFFFFF"/>
        </w:rPr>
        <w:t xml:space="preserve">the creditors, but the duty will apply to all residual claimants including the shareholders if the possibility exists that the company </w:t>
      </w:r>
      <w:r w:rsidR="0071668B">
        <w:rPr>
          <w:shd w:val="clear" w:color="auto" w:fill="FFFFFF"/>
        </w:rPr>
        <w:t xml:space="preserve">might </w:t>
      </w:r>
      <w:r w:rsidR="001F532C">
        <w:rPr>
          <w:shd w:val="clear" w:color="auto" w:fill="FFFFFF"/>
        </w:rPr>
        <w:t>return to solvency.)</w:t>
      </w:r>
    </w:p>
  </w:footnote>
  <w:footnote w:id="47">
    <w:p w14:paraId="1CF0D85E" w14:textId="6E2A5EB3" w:rsidR="00F67D77" w:rsidRDefault="00F67D77">
      <w:pPr>
        <w:pStyle w:val="FootnoteText"/>
      </w:pPr>
      <w:r>
        <w:rPr>
          <w:rStyle w:val="FootnoteReference"/>
        </w:rPr>
        <w:footnoteRef/>
      </w:r>
      <w:r>
        <w:t xml:space="preserve"> </w:t>
      </w:r>
      <w:r>
        <w:tab/>
      </w:r>
      <w:r w:rsidRPr="00F67D77">
        <w:rPr>
          <w:rFonts w:eastAsia="Times New Roman" w:cs="Times New Roman"/>
          <w:i/>
          <w:iCs/>
        </w:rPr>
        <w:t>In re Toys “R” US, Inc</w:t>
      </w:r>
      <w:r w:rsidRPr="00F67D77">
        <w:rPr>
          <w:rFonts w:eastAsia="Times New Roman" w:cs="Times New Roman"/>
        </w:rPr>
        <w:t>., 642 B.R. 727, 747 (Bankr. E.D. Va. 2022).</w:t>
      </w:r>
    </w:p>
  </w:footnote>
  <w:footnote w:id="48">
    <w:p w14:paraId="644D54BC" w14:textId="56F5AACC" w:rsidR="00F2334F" w:rsidRDefault="00F2334F">
      <w:pPr>
        <w:pStyle w:val="FootnoteText"/>
      </w:pPr>
      <w:r>
        <w:rPr>
          <w:rStyle w:val="FootnoteReference"/>
        </w:rPr>
        <w:footnoteRef/>
      </w:r>
      <w:r>
        <w:t xml:space="preserve"> </w:t>
      </w:r>
      <w:r>
        <w:tab/>
        <w:t>The charter provided that directors will not be personally liable for breaches of their duty of care if the alleged breach did not violate the duty of loyalty, w</w:t>
      </w:r>
      <w:r w:rsidR="00E112C0">
        <w:t>a</w:t>
      </w:r>
      <w:r>
        <w:t xml:space="preserve">s not an act or omission not in good faith or </w:t>
      </w:r>
      <w:r w:rsidR="002E5775">
        <w:t xml:space="preserve">did not </w:t>
      </w:r>
      <w:r>
        <w:t>involv</w:t>
      </w:r>
      <w:r w:rsidR="002E5775">
        <w:t>e</w:t>
      </w:r>
      <w:r>
        <w:t xml:space="preserve"> </w:t>
      </w:r>
      <w:r w:rsidR="00E112C0">
        <w:t>intentional</w:t>
      </w:r>
      <w:r>
        <w:t xml:space="preserve"> </w:t>
      </w:r>
      <w:r w:rsidR="00E112C0">
        <w:t>misconduct</w:t>
      </w:r>
      <w:r>
        <w:t xml:space="preserve"> or a knowing violation of law. </w:t>
      </w:r>
    </w:p>
  </w:footnote>
  <w:footnote w:id="49">
    <w:p w14:paraId="1D890B25" w14:textId="6BA4A41C" w:rsidR="00F2334F" w:rsidRDefault="00F2334F">
      <w:pPr>
        <w:pStyle w:val="FootnoteText"/>
      </w:pPr>
      <w:r>
        <w:rPr>
          <w:rStyle w:val="FootnoteReference"/>
        </w:rPr>
        <w:footnoteRef/>
      </w:r>
      <w:r>
        <w:t xml:space="preserve"> </w:t>
      </w:r>
      <w:r>
        <w:tab/>
      </w:r>
      <w:r w:rsidRPr="006076FC">
        <w:rPr>
          <w:i/>
          <w:iCs/>
        </w:rPr>
        <w:t xml:space="preserve">Citing </w:t>
      </w:r>
      <w:r w:rsidR="006076FC" w:rsidRPr="006076FC">
        <w:rPr>
          <w:i/>
          <w:iCs/>
        </w:rPr>
        <w:t xml:space="preserve">Brehm v. Eisner </w:t>
      </w:r>
      <w:r w:rsidR="006076FC" w:rsidRPr="006076FC">
        <w:t>(</w:t>
      </w:r>
      <w:r w:rsidR="006076FC" w:rsidRPr="006076FC">
        <w:rPr>
          <w:i/>
          <w:iCs/>
        </w:rPr>
        <w:t>In re Walt Disney Co. Derivative Litig.</w:t>
      </w:r>
      <w:r w:rsidR="006076FC">
        <w:t xml:space="preserve">), 906 A.2d 27, 52 (Del. 2006); and </w:t>
      </w:r>
      <w:r w:rsidR="006076FC" w:rsidRPr="006076FC">
        <w:rPr>
          <w:i/>
          <w:iCs/>
        </w:rPr>
        <w:t>Cede &amp; Co. v. Technicolor, Inc</w:t>
      </w:r>
      <w:r w:rsidR="006076FC">
        <w:t>., 634 A.2d 345, 371 (Del. 1993).</w:t>
      </w:r>
    </w:p>
  </w:footnote>
  <w:footnote w:id="50">
    <w:p w14:paraId="4B3BFD9B" w14:textId="3DEB8830" w:rsidR="00396363" w:rsidRDefault="00396363">
      <w:pPr>
        <w:pStyle w:val="FootnoteText"/>
      </w:pPr>
      <w:r>
        <w:rPr>
          <w:rStyle w:val="FootnoteReference"/>
        </w:rPr>
        <w:footnoteRef/>
      </w:r>
      <w:r>
        <w:t xml:space="preserve"> </w:t>
      </w:r>
      <w:r>
        <w:tab/>
      </w:r>
      <w:r w:rsidRPr="00396363">
        <w:rPr>
          <w:i/>
          <w:iCs/>
        </w:rPr>
        <w:t>In re Walt Disney Co. Derivative Litigation</w:t>
      </w:r>
      <w:r>
        <w:t>, 906 A.2d 27, 52.</w:t>
      </w:r>
    </w:p>
  </w:footnote>
  <w:footnote w:id="51">
    <w:p w14:paraId="5DD0DBBB" w14:textId="7ABDD34E" w:rsidR="009B2571" w:rsidRDefault="009B2571">
      <w:pPr>
        <w:pStyle w:val="FootnoteText"/>
      </w:pPr>
      <w:r>
        <w:rPr>
          <w:rStyle w:val="FootnoteReference"/>
        </w:rPr>
        <w:footnoteRef/>
      </w:r>
      <w:r>
        <w:t xml:space="preserve"> </w:t>
      </w:r>
      <w:r>
        <w:tab/>
      </w:r>
      <w:r w:rsidRPr="009B2571">
        <w:rPr>
          <w:i/>
          <w:iCs/>
        </w:rPr>
        <w:t>Citing Frederick Hsu Living Tr. v. ODN Holding Corp</w:t>
      </w:r>
      <w:r>
        <w:t>., C.A. No. 12108- VCL, 2017 WL 1437308, at *24 (Del. Ch. Apr. 14, 2017) (“the fact that a corporation is bound by its valid contractual obligations does not mean that a board does not owe fiduciary duties when considering how to handle those contractual obligations.”).</w:t>
      </w:r>
    </w:p>
  </w:footnote>
  <w:footnote w:id="52">
    <w:p w14:paraId="4A3BB528" w14:textId="0A423D15" w:rsidR="0015258A" w:rsidRDefault="0015258A">
      <w:pPr>
        <w:pStyle w:val="FootnoteText"/>
      </w:pPr>
      <w:r>
        <w:rPr>
          <w:rStyle w:val="FootnoteReference"/>
        </w:rPr>
        <w:footnoteRef/>
      </w:r>
      <w:r>
        <w:t xml:space="preserve"> </w:t>
      </w:r>
      <w:r>
        <w:tab/>
        <w:t>2022 OK CIV APP 16.</w:t>
      </w:r>
    </w:p>
  </w:footnote>
  <w:footnote w:id="53">
    <w:p w14:paraId="192CBAFC" w14:textId="20D465FF" w:rsidR="00E73D28" w:rsidRDefault="00E73D28">
      <w:pPr>
        <w:pStyle w:val="FootnoteText"/>
      </w:pPr>
      <w:r>
        <w:rPr>
          <w:rStyle w:val="FootnoteReference"/>
        </w:rPr>
        <w:footnoteRef/>
      </w:r>
      <w:r>
        <w:t xml:space="preserve"> </w:t>
      </w:r>
      <w:r>
        <w:tab/>
        <w:t xml:space="preserve">16 O.S. </w:t>
      </w:r>
      <w:r>
        <w:rPr>
          <w:rFonts w:cs="Times New Roman"/>
        </w:rPr>
        <w:t>§</w:t>
      </w:r>
      <w:r>
        <w:t>19.</w:t>
      </w:r>
    </w:p>
  </w:footnote>
  <w:footnote w:id="54">
    <w:p w14:paraId="7F46AF2C" w14:textId="10BEA88A" w:rsidR="00E73D28" w:rsidRDefault="00E73D28">
      <w:pPr>
        <w:pStyle w:val="FootnoteText"/>
      </w:pPr>
      <w:r>
        <w:rPr>
          <w:rStyle w:val="FootnoteReference"/>
        </w:rPr>
        <w:footnoteRef/>
      </w:r>
      <w:r>
        <w:t xml:space="preserve"> </w:t>
      </w:r>
      <w:r>
        <w:tab/>
      </w:r>
      <w:r w:rsidRPr="00E73D28">
        <w:rPr>
          <w:i/>
          <w:iCs/>
        </w:rPr>
        <w:t>Id</w:t>
      </w:r>
      <w:r>
        <w:t xml:space="preserve">. at </w:t>
      </w:r>
      <w:r>
        <w:rPr>
          <w:rFonts w:cs="Times New Roman"/>
        </w:rPr>
        <w:t>§2</w:t>
      </w:r>
      <w:r>
        <w:t>9.</w:t>
      </w:r>
    </w:p>
  </w:footnote>
  <w:footnote w:id="55">
    <w:p w14:paraId="3632A0E9" w14:textId="1D100754" w:rsidR="00095962" w:rsidRDefault="00095962">
      <w:pPr>
        <w:pStyle w:val="FootnoteText"/>
      </w:pPr>
      <w:r>
        <w:rPr>
          <w:rStyle w:val="FootnoteReference"/>
        </w:rPr>
        <w:footnoteRef/>
      </w:r>
      <w:r>
        <w:t xml:space="preserve"> </w:t>
      </w:r>
      <w:r>
        <w:tab/>
      </w:r>
      <w:r w:rsidRPr="00095962">
        <w:rPr>
          <w:i/>
          <w:iCs/>
        </w:rPr>
        <w:t>Southwest Petroleum Co. v. Logan</w:t>
      </w:r>
      <w:r>
        <w:t xml:space="preserve">, 1937 OK 473, </w:t>
      </w:r>
      <w:r>
        <w:rPr>
          <w:rFonts w:cs="Times New Roman"/>
        </w:rPr>
        <w:t>¶</w:t>
      </w:r>
      <w:r>
        <w:t xml:space="preserve">14, 71 P.2d 759; </w:t>
      </w:r>
      <w:r w:rsidRPr="00095962">
        <w:rPr>
          <w:i/>
          <w:iCs/>
        </w:rPr>
        <w:t>Williamson v. Needles</w:t>
      </w:r>
      <w:r>
        <w:t xml:space="preserve">, 1942 OK 409, </w:t>
      </w:r>
      <w:r>
        <w:rPr>
          <w:rFonts w:cs="Times New Roman"/>
        </w:rPr>
        <w:t>¶</w:t>
      </w:r>
      <w:r>
        <w:t xml:space="preserve">13, 133 P.2d 211; and </w:t>
      </w:r>
      <w:r w:rsidRPr="00095962">
        <w:rPr>
          <w:i/>
          <w:iCs/>
        </w:rPr>
        <w:t>G.A. Nichols Inc. v. Stoddard</w:t>
      </w:r>
      <w:r>
        <w:t>, 1952 OK 131. 242 P.2d 742.</w:t>
      </w:r>
    </w:p>
  </w:footnote>
  <w:footnote w:id="56">
    <w:p w14:paraId="0A4C0B79" w14:textId="2B233917" w:rsidR="00095962" w:rsidRDefault="00095962">
      <w:pPr>
        <w:pStyle w:val="FootnoteText"/>
      </w:pPr>
      <w:r>
        <w:rPr>
          <w:rStyle w:val="FootnoteReference"/>
        </w:rPr>
        <w:footnoteRef/>
      </w:r>
      <w:r>
        <w:t xml:space="preserve"> </w:t>
      </w:r>
      <w:r>
        <w:tab/>
      </w:r>
      <w:r w:rsidRPr="00095962">
        <w:rPr>
          <w:i/>
          <w:iCs/>
        </w:rPr>
        <w:t>Morton v. Clearview Homes</w:t>
      </w:r>
      <w:r>
        <w:t xml:space="preserve">, 1958 OK 55, </w:t>
      </w:r>
      <w:r>
        <w:rPr>
          <w:rFonts w:cs="Times New Roman"/>
        </w:rPr>
        <w:t>¶</w:t>
      </w:r>
      <w:r>
        <w:t>0, 324 P.2d 543.</w:t>
      </w:r>
    </w:p>
  </w:footnote>
  <w:footnote w:id="57">
    <w:p w14:paraId="1BBAF551" w14:textId="2D76290B" w:rsidR="005225CA" w:rsidRDefault="005225CA">
      <w:pPr>
        <w:pStyle w:val="FootnoteText"/>
      </w:pPr>
      <w:r>
        <w:rPr>
          <w:rStyle w:val="FootnoteReference"/>
        </w:rPr>
        <w:footnoteRef/>
      </w:r>
      <w:r>
        <w:t xml:space="preserve"> </w:t>
      </w:r>
      <w:r>
        <w:tab/>
      </w:r>
      <w:r w:rsidRPr="005225CA">
        <w:rPr>
          <w:i/>
          <w:iCs/>
        </w:rPr>
        <w:t>Grand Crest</w:t>
      </w:r>
      <w:r>
        <w:t xml:space="preserve"> at </w:t>
      </w:r>
      <w:r>
        <w:rPr>
          <w:rFonts w:cs="Times New Roman"/>
        </w:rPr>
        <w:t>¶26.</w:t>
      </w:r>
    </w:p>
  </w:footnote>
  <w:footnote w:id="58">
    <w:p w14:paraId="16E3EAA1" w14:textId="144F1ADB" w:rsidR="005225CA" w:rsidRDefault="005225CA">
      <w:pPr>
        <w:pStyle w:val="FootnoteText"/>
      </w:pPr>
      <w:r>
        <w:rPr>
          <w:rStyle w:val="FootnoteReference"/>
        </w:rPr>
        <w:footnoteRef/>
      </w:r>
      <w:r>
        <w:t xml:space="preserve"> </w:t>
      </w:r>
      <w:r>
        <w:tab/>
      </w:r>
      <w:r w:rsidRPr="005225CA">
        <w:rPr>
          <w:i/>
          <w:iCs/>
        </w:rPr>
        <w:t>Id</w:t>
      </w:r>
      <w:r>
        <w:t xml:space="preserve">. </w:t>
      </w:r>
    </w:p>
  </w:footnote>
  <w:footnote w:id="59">
    <w:p w14:paraId="77716689" w14:textId="77777777" w:rsidR="001F532C" w:rsidRDefault="001F532C" w:rsidP="001F532C">
      <w:pPr>
        <w:pStyle w:val="FootnoteText"/>
      </w:pPr>
      <w:r>
        <w:rPr>
          <w:rStyle w:val="FootnoteReference"/>
        </w:rPr>
        <w:footnoteRef/>
      </w:r>
      <w:r>
        <w:t xml:space="preserve"> </w:t>
      </w:r>
      <w:r>
        <w:tab/>
      </w:r>
      <w:r w:rsidRPr="005956CD">
        <w:rPr>
          <w:i/>
          <w:iCs/>
        </w:rPr>
        <w:t>In re Caremark International Inc. Derivative Litigation</w:t>
      </w:r>
      <w:r>
        <w:t xml:space="preserve">, </w:t>
      </w:r>
      <w:r w:rsidRPr="00F463EA">
        <w:t>698 A.2d 959 (Del. Ch. 1996)</w:t>
      </w:r>
      <w:r>
        <w:t xml:space="preserve"> (“</w:t>
      </w:r>
      <w:r w:rsidRPr="00A26C8B">
        <w:t>a director</w:t>
      </w:r>
      <w:r>
        <w:t>’</w:t>
      </w:r>
      <w:r w:rsidRPr="00A26C8B">
        <w:t>s obligation includes a duty to attempt in good faith to assure that a corporate information and reporting system, which the board concludes is adequate, exists, and that failure to do so under some circumstances may . . . render a director liable</w:t>
      </w:r>
      <w:r>
        <w:t>”)</w:t>
      </w:r>
      <w:r w:rsidRPr="00F463EA">
        <w:t>.</w:t>
      </w:r>
    </w:p>
  </w:footnote>
  <w:footnote w:id="60">
    <w:p w14:paraId="1C6E065F" w14:textId="35BEFB79" w:rsidR="0015258A" w:rsidRDefault="0015258A">
      <w:pPr>
        <w:pStyle w:val="FootnoteText"/>
      </w:pPr>
      <w:r>
        <w:rPr>
          <w:rStyle w:val="FootnoteReference"/>
        </w:rPr>
        <w:footnoteRef/>
      </w:r>
      <w:r>
        <w:t xml:space="preserve"> </w:t>
      </w:r>
      <w:r>
        <w:tab/>
      </w:r>
      <w:r>
        <w:rPr>
          <w:rFonts w:eastAsia="Times New Roman"/>
        </w:rPr>
        <w:t>2022 Del. Ch. LEXIS 1 (Del. Ch. Jan. 3, 2022).</w:t>
      </w:r>
    </w:p>
  </w:footnote>
  <w:footnote w:id="61">
    <w:p w14:paraId="6D26FE4C" w14:textId="18D37E9A" w:rsidR="008679A5" w:rsidRDefault="008679A5" w:rsidP="008679A5">
      <w:pPr>
        <w:pStyle w:val="Footnote"/>
      </w:pPr>
      <w:r>
        <w:rPr>
          <w:rStyle w:val="FootnoteReference"/>
        </w:rPr>
        <w:footnoteRef/>
      </w:r>
      <w:r>
        <w:t xml:space="preserve"> </w:t>
      </w:r>
      <w:r>
        <w:tab/>
      </w:r>
      <w:r w:rsidR="00127A43">
        <w:rPr>
          <w:shd w:val="clear" w:color="auto" w:fill="FFFFFF"/>
        </w:rPr>
        <w:t xml:space="preserve">C.A. No. 2020-0657-SG (Del. Ch. Feb. 14, 2022) and </w:t>
      </w:r>
      <w:r w:rsidR="001A6C64" w:rsidRPr="00602C4E">
        <w:rPr>
          <w:rStyle w:val="Footnote1Char"/>
        </w:rPr>
        <w:t>(Del. Ch. June 3, 2022)</w:t>
      </w:r>
      <w:r w:rsidR="00127A43">
        <w:rPr>
          <w:rStyle w:val="Footnote1Char"/>
        </w:rPr>
        <w:t>.</w:t>
      </w:r>
      <w:r w:rsidR="001A6C64" w:rsidRPr="00602C4E">
        <w:rPr>
          <w:rStyle w:val="Footnote1Char"/>
        </w:rPr>
        <w:t xml:space="preserve"> </w:t>
      </w:r>
    </w:p>
  </w:footnote>
  <w:footnote w:id="62">
    <w:p w14:paraId="1EB4CD16" w14:textId="7DAE44A2" w:rsidR="007959FF" w:rsidRDefault="007959FF">
      <w:pPr>
        <w:pStyle w:val="FootnoteText"/>
      </w:pPr>
      <w:r>
        <w:rPr>
          <w:rStyle w:val="FootnoteReference"/>
        </w:rPr>
        <w:footnoteRef/>
      </w:r>
      <w:r>
        <w:t xml:space="preserve"> </w:t>
      </w:r>
      <w:r>
        <w:tab/>
      </w:r>
      <w:r w:rsidRPr="00457365">
        <w:rPr>
          <w:color w:val="000000"/>
          <w:szCs w:val="24"/>
          <w:shd w:val="clear" w:color="auto" w:fill="FFFFFF"/>
        </w:rPr>
        <w:t>Stockholder agreements often impose obligations and restrictions on stockholders to facilitate significant transactions, including drag-along terms, voting agreements, and waivers of various stockholder rights.</w:t>
      </w:r>
      <w:r>
        <w:rPr>
          <w:color w:val="000000"/>
          <w:szCs w:val="24"/>
          <w:shd w:val="clear" w:color="auto" w:fill="FFFFFF"/>
        </w:rPr>
        <w:t xml:space="preserve"> </w:t>
      </w:r>
    </w:p>
  </w:footnote>
  <w:footnote w:id="63">
    <w:p w14:paraId="79A1C029" w14:textId="4F39C995" w:rsidR="00B47AA9" w:rsidRPr="0041187B" w:rsidRDefault="00B47AA9" w:rsidP="003545EB">
      <w:pPr>
        <w:pStyle w:val="FootnoteText"/>
      </w:pPr>
      <w:r w:rsidRPr="0041187B">
        <w:rPr>
          <w:rStyle w:val="FootnoteReference"/>
        </w:rPr>
        <w:footnoteRef/>
      </w:r>
      <w:r w:rsidRPr="0041187B">
        <w:t xml:space="preserve"> </w:t>
      </w:r>
      <w:r w:rsidRPr="0041187B">
        <w:tab/>
      </w:r>
      <w:r w:rsidRPr="0041187B">
        <w:rPr>
          <w:i/>
        </w:rPr>
        <w:t xml:space="preserve">See </w:t>
      </w:r>
      <w:r>
        <w:t>“</w:t>
      </w:r>
      <w:r w:rsidRPr="0041187B">
        <w:t>Down on the Street: A Special Report on American</w:t>
      </w:r>
      <w:r>
        <w:t>’</w:t>
      </w:r>
      <w:r w:rsidRPr="0041187B">
        <w:t>s Capital Markets</w:t>
      </w:r>
      <w:r>
        <w:t>”</w:t>
      </w:r>
      <w:r w:rsidRPr="0041187B">
        <w:t xml:space="preserve">, </w:t>
      </w:r>
      <w:r w:rsidRPr="0041187B">
        <w:rPr>
          <w:i/>
          <w:iCs/>
        </w:rPr>
        <w:t>The Economist</w:t>
      </w:r>
      <w:r w:rsidRPr="0041187B">
        <w:rPr>
          <w:iCs/>
          <w:smallCaps/>
        </w:rPr>
        <w:t xml:space="preserve"> </w:t>
      </w:r>
      <w:r w:rsidRPr="0041187B">
        <w:t>(Nov. 25, 2006)</w:t>
      </w:r>
      <w:r w:rsidRPr="008A2468">
        <w:rPr>
          <w:rFonts w:cs="Times New Roman"/>
          <w:sz w:val="24"/>
        </w:rPr>
        <w:t xml:space="preserve"> </w:t>
      </w:r>
      <w:r w:rsidRPr="008A2468">
        <w:t>(“In theory, a higher standard of corporate governance should result in a higher valuation, since listing in a well-regulated market shows a commitment from a company that it will not abuse investors.”)</w:t>
      </w:r>
      <w:r w:rsidRPr="004118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E990" w14:textId="77777777" w:rsidR="00B47AA9" w:rsidRPr="007B0203" w:rsidRDefault="00B47AA9" w:rsidP="007B0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E728" w14:textId="77777777" w:rsidR="00B47AA9" w:rsidRDefault="00B4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3DC"/>
    <w:multiLevelType w:val="multilevel"/>
    <w:tmpl w:val="2B141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301F"/>
    <w:multiLevelType w:val="hybridMultilevel"/>
    <w:tmpl w:val="B0BA6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C3659A"/>
    <w:multiLevelType w:val="hybridMultilevel"/>
    <w:tmpl w:val="578E6C12"/>
    <w:lvl w:ilvl="0" w:tplc="589015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C4E4F"/>
    <w:multiLevelType w:val="multilevel"/>
    <w:tmpl w:val="50903CE2"/>
    <w:styleLink w:val="DB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BE5CCE"/>
    <w:multiLevelType w:val="hybridMultilevel"/>
    <w:tmpl w:val="31EEBF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0BF3227"/>
    <w:multiLevelType w:val="multilevel"/>
    <w:tmpl w:val="96DC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248B"/>
    <w:multiLevelType w:val="multilevel"/>
    <w:tmpl w:val="5932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C3668"/>
    <w:multiLevelType w:val="hybridMultilevel"/>
    <w:tmpl w:val="F2F2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7B3C56"/>
    <w:multiLevelType w:val="hybridMultilevel"/>
    <w:tmpl w:val="8160C6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C0377"/>
    <w:multiLevelType w:val="multilevel"/>
    <w:tmpl w:val="30E6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61D6D"/>
    <w:multiLevelType w:val="hybridMultilevel"/>
    <w:tmpl w:val="19B21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A7D76"/>
    <w:multiLevelType w:val="hybridMultilevel"/>
    <w:tmpl w:val="CCA446FA"/>
    <w:lvl w:ilvl="0" w:tplc="70F4D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7C7513"/>
    <w:multiLevelType w:val="multilevel"/>
    <w:tmpl w:val="6A1E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02C3E"/>
    <w:multiLevelType w:val="multilevel"/>
    <w:tmpl w:val="202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83314"/>
    <w:multiLevelType w:val="hybridMultilevel"/>
    <w:tmpl w:val="7308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4F1644"/>
    <w:multiLevelType w:val="multilevel"/>
    <w:tmpl w:val="CCD8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75360"/>
    <w:multiLevelType w:val="multilevel"/>
    <w:tmpl w:val="92F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B35B2"/>
    <w:multiLevelType w:val="multilevel"/>
    <w:tmpl w:val="5B5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70519"/>
    <w:multiLevelType w:val="multilevel"/>
    <w:tmpl w:val="893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004067"/>
    <w:multiLevelType w:val="multilevel"/>
    <w:tmpl w:val="F61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523FB"/>
    <w:multiLevelType w:val="multilevel"/>
    <w:tmpl w:val="37FE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A022DC"/>
    <w:multiLevelType w:val="hybridMultilevel"/>
    <w:tmpl w:val="26DA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04CE9"/>
    <w:multiLevelType w:val="hybridMultilevel"/>
    <w:tmpl w:val="BC4644F2"/>
    <w:lvl w:ilvl="0" w:tplc="BDA280B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921E9"/>
    <w:multiLevelType w:val="hybridMultilevel"/>
    <w:tmpl w:val="5044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32A7A"/>
    <w:multiLevelType w:val="hybridMultilevel"/>
    <w:tmpl w:val="8F9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B3642"/>
    <w:multiLevelType w:val="multilevel"/>
    <w:tmpl w:val="75F2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116FB"/>
    <w:multiLevelType w:val="hybridMultilevel"/>
    <w:tmpl w:val="F6E0AA48"/>
    <w:lvl w:ilvl="0" w:tplc="F6EED132">
      <w:numFmt w:val="bullet"/>
      <w:lvlText w:val="•"/>
      <w:lvlJc w:val="left"/>
      <w:pPr>
        <w:ind w:left="1575" w:hanging="855"/>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3919A5"/>
    <w:multiLevelType w:val="hybridMultilevel"/>
    <w:tmpl w:val="F8DA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945F1"/>
    <w:multiLevelType w:val="hybridMultilevel"/>
    <w:tmpl w:val="077429DC"/>
    <w:lvl w:ilvl="0" w:tplc="A0B26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514DD5"/>
    <w:multiLevelType w:val="multilevel"/>
    <w:tmpl w:val="309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B5640D"/>
    <w:multiLevelType w:val="hybridMultilevel"/>
    <w:tmpl w:val="233AF546"/>
    <w:lvl w:ilvl="0" w:tplc="0DD0349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F01ED"/>
    <w:multiLevelType w:val="hybridMultilevel"/>
    <w:tmpl w:val="C1149B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C0E66BF"/>
    <w:multiLevelType w:val="multilevel"/>
    <w:tmpl w:val="1AE4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1672F"/>
    <w:multiLevelType w:val="hybridMultilevel"/>
    <w:tmpl w:val="614C3D1A"/>
    <w:lvl w:ilvl="0" w:tplc="B9D47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418073">
    <w:abstractNumId w:val="3"/>
  </w:num>
  <w:num w:numId="2" w16cid:durableId="593901168">
    <w:abstractNumId w:val="1"/>
  </w:num>
  <w:num w:numId="3" w16cid:durableId="1753702324">
    <w:abstractNumId w:val="8"/>
  </w:num>
  <w:num w:numId="4" w16cid:durableId="1603800048">
    <w:abstractNumId w:val="9"/>
  </w:num>
  <w:num w:numId="5" w16cid:durableId="187568721">
    <w:abstractNumId w:val="5"/>
  </w:num>
  <w:num w:numId="6" w16cid:durableId="1596522519">
    <w:abstractNumId w:val="25"/>
  </w:num>
  <w:num w:numId="7" w16cid:durableId="1347907748">
    <w:abstractNumId w:val="0"/>
  </w:num>
  <w:num w:numId="8" w16cid:durableId="435489974">
    <w:abstractNumId w:val="32"/>
  </w:num>
  <w:num w:numId="9" w16cid:durableId="1297875739">
    <w:abstractNumId w:val="12"/>
  </w:num>
  <w:num w:numId="10" w16cid:durableId="5179909">
    <w:abstractNumId w:val="16"/>
  </w:num>
  <w:num w:numId="11" w16cid:durableId="1169062311">
    <w:abstractNumId w:val="24"/>
  </w:num>
  <w:num w:numId="12" w16cid:durableId="1245804132">
    <w:abstractNumId w:val="26"/>
  </w:num>
  <w:num w:numId="13" w16cid:durableId="1794789992">
    <w:abstractNumId w:val="14"/>
  </w:num>
  <w:num w:numId="14" w16cid:durableId="1889299064">
    <w:abstractNumId w:val="21"/>
  </w:num>
  <w:num w:numId="15" w16cid:durableId="1851020104">
    <w:abstractNumId w:val="27"/>
  </w:num>
  <w:num w:numId="16" w16cid:durableId="926034215">
    <w:abstractNumId w:val="20"/>
  </w:num>
  <w:num w:numId="17" w16cid:durableId="154155548">
    <w:abstractNumId w:val="6"/>
  </w:num>
  <w:num w:numId="18" w16cid:durableId="367875568">
    <w:abstractNumId w:val="19"/>
  </w:num>
  <w:num w:numId="19" w16cid:durableId="449208865">
    <w:abstractNumId w:val="13"/>
  </w:num>
  <w:num w:numId="20" w16cid:durableId="2017001492">
    <w:abstractNumId w:val="22"/>
  </w:num>
  <w:num w:numId="21" w16cid:durableId="1341465611">
    <w:abstractNumId w:val="29"/>
  </w:num>
  <w:num w:numId="22" w16cid:durableId="1673558472">
    <w:abstractNumId w:val="7"/>
  </w:num>
  <w:num w:numId="23" w16cid:durableId="1346663762">
    <w:abstractNumId w:val="17"/>
  </w:num>
  <w:num w:numId="24" w16cid:durableId="64691039">
    <w:abstractNumId w:val="23"/>
  </w:num>
  <w:num w:numId="25" w16cid:durableId="1743671875">
    <w:abstractNumId w:val="28"/>
  </w:num>
  <w:num w:numId="26" w16cid:durableId="1179464907">
    <w:abstractNumId w:val="15"/>
  </w:num>
  <w:num w:numId="27" w16cid:durableId="1075935027">
    <w:abstractNumId w:val="31"/>
  </w:num>
  <w:num w:numId="28" w16cid:durableId="1170559837">
    <w:abstractNumId w:val="18"/>
  </w:num>
  <w:num w:numId="29" w16cid:durableId="463698154">
    <w:abstractNumId w:val="4"/>
  </w:num>
  <w:num w:numId="30" w16cid:durableId="2071995345">
    <w:abstractNumId w:val="10"/>
  </w:num>
  <w:num w:numId="31" w16cid:durableId="1197891950">
    <w:abstractNumId w:val="11"/>
  </w:num>
  <w:num w:numId="32" w16cid:durableId="1072266788">
    <w:abstractNumId w:val="2"/>
  </w:num>
  <w:num w:numId="33" w16cid:durableId="2049140347">
    <w:abstractNumId w:val="30"/>
  </w:num>
  <w:num w:numId="34" w16cid:durableId="18709960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MzY3NjEzNjM0MjNQ0lEKTi0uzszPAykwrAUAM8tkpywAAAA="/>
  </w:docVars>
  <w:rsids>
    <w:rsidRoot w:val="00331B18"/>
    <w:rsid w:val="000001B0"/>
    <w:rsid w:val="0000039C"/>
    <w:rsid w:val="00000536"/>
    <w:rsid w:val="000011BC"/>
    <w:rsid w:val="000012D7"/>
    <w:rsid w:val="000018DD"/>
    <w:rsid w:val="00002283"/>
    <w:rsid w:val="000028FC"/>
    <w:rsid w:val="00003758"/>
    <w:rsid w:val="000041F0"/>
    <w:rsid w:val="000049B4"/>
    <w:rsid w:val="000051CB"/>
    <w:rsid w:val="00005A10"/>
    <w:rsid w:val="000062A1"/>
    <w:rsid w:val="0000654C"/>
    <w:rsid w:val="00007895"/>
    <w:rsid w:val="00007E3A"/>
    <w:rsid w:val="000101C0"/>
    <w:rsid w:val="00010730"/>
    <w:rsid w:val="0001183A"/>
    <w:rsid w:val="000119DF"/>
    <w:rsid w:val="0001497D"/>
    <w:rsid w:val="00014D57"/>
    <w:rsid w:val="000155B9"/>
    <w:rsid w:val="00016950"/>
    <w:rsid w:val="00016DC3"/>
    <w:rsid w:val="000207F0"/>
    <w:rsid w:val="00021B8A"/>
    <w:rsid w:val="00021CD0"/>
    <w:rsid w:val="00022AC8"/>
    <w:rsid w:val="000239C6"/>
    <w:rsid w:val="00023AAA"/>
    <w:rsid w:val="0002416D"/>
    <w:rsid w:val="00025C51"/>
    <w:rsid w:val="00026C15"/>
    <w:rsid w:val="00027089"/>
    <w:rsid w:val="000279E7"/>
    <w:rsid w:val="00030585"/>
    <w:rsid w:val="00031A75"/>
    <w:rsid w:val="00031B2D"/>
    <w:rsid w:val="00031D14"/>
    <w:rsid w:val="00031E36"/>
    <w:rsid w:val="00032187"/>
    <w:rsid w:val="00032A9B"/>
    <w:rsid w:val="00033685"/>
    <w:rsid w:val="00033B6F"/>
    <w:rsid w:val="0003488F"/>
    <w:rsid w:val="00034D06"/>
    <w:rsid w:val="00034D46"/>
    <w:rsid w:val="00035248"/>
    <w:rsid w:val="00035471"/>
    <w:rsid w:val="00035B53"/>
    <w:rsid w:val="00036307"/>
    <w:rsid w:val="000365E6"/>
    <w:rsid w:val="00040AF0"/>
    <w:rsid w:val="00040CA4"/>
    <w:rsid w:val="00041338"/>
    <w:rsid w:val="000413F1"/>
    <w:rsid w:val="0004183C"/>
    <w:rsid w:val="00042D4A"/>
    <w:rsid w:val="00042D5F"/>
    <w:rsid w:val="00043140"/>
    <w:rsid w:val="0004332E"/>
    <w:rsid w:val="000434F4"/>
    <w:rsid w:val="0004410F"/>
    <w:rsid w:val="0004421A"/>
    <w:rsid w:val="000444F6"/>
    <w:rsid w:val="00045095"/>
    <w:rsid w:val="00045A98"/>
    <w:rsid w:val="00045C71"/>
    <w:rsid w:val="00046876"/>
    <w:rsid w:val="00046BF1"/>
    <w:rsid w:val="00046D3F"/>
    <w:rsid w:val="00046DB4"/>
    <w:rsid w:val="000479F9"/>
    <w:rsid w:val="000509AB"/>
    <w:rsid w:val="00050B76"/>
    <w:rsid w:val="00051D65"/>
    <w:rsid w:val="000527D1"/>
    <w:rsid w:val="00052CB8"/>
    <w:rsid w:val="00052EEB"/>
    <w:rsid w:val="00053504"/>
    <w:rsid w:val="0005476C"/>
    <w:rsid w:val="00054BD8"/>
    <w:rsid w:val="000574DC"/>
    <w:rsid w:val="00057A67"/>
    <w:rsid w:val="000616B0"/>
    <w:rsid w:val="00062143"/>
    <w:rsid w:val="00062204"/>
    <w:rsid w:val="000627E8"/>
    <w:rsid w:val="00062A44"/>
    <w:rsid w:val="00063229"/>
    <w:rsid w:val="000639FE"/>
    <w:rsid w:val="00067741"/>
    <w:rsid w:val="0007192A"/>
    <w:rsid w:val="00071F92"/>
    <w:rsid w:val="000721C9"/>
    <w:rsid w:val="0007281C"/>
    <w:rsid w:val="00072E10"/>
    <w:rsid w:val="00072F38"/>
    <w:rsid w:val="00075A4A"/>
    <w:rsid w:val="00075CC0"/>
    <w:rsid w:val="00076698"/>
    <w:rsid w:val="00077675"/>
    <w:rsid w:val="0007799D"/>
    <w:rsid w:val="00080F3C"/>
    <w:rsid w:val="00081D8D"/>
    <w:rsid w:val="00081FB3"/>
    <w:rsid w:val="0008206D"/>
    <w:rsid w:val="00082288"/>
    <w:rsid w:val="00082418"/>
    <w:rsid w:val="0008377E"/>
    <w:rsid w:val="00084875"/>
    <w:rsid w:val="000850A0"/>
    <w:rsid w:val="000854BE"/>
    <w:rsid w:val="00085D8D"/>
    <w:rsid w:val="000862B6"/>
    <w:rsid w:val="00086461"/>
    <w:rsid w:val="00086911"/>
    <w:rsid w:val="00087267"/>
    <w:rsid w:val="0008741E"/>
    <w:rsid w:val="00087DD2"/>
    <w:rsid w:val="00090872"/>
    <w:rsid w:val="00090E4A"/>
    <w:rsid w:val="0009110F"/>
    <w:rsid w:val="00091314"/>
    <w:rsid w:val="00091C44"/>
    <w:rsid w:val="00091C6E"/>
    <w:rsid w:val="00092A4D"/>
    <w:rsid w:val="00092D0E"/>
    <w:rsid w:val="000940BE"/>
    <w:rsid w:val="000947C4"/>
    <w:rsid w:val="000948B0"/>
    <w:rsid w:val="000948D0"/>
    <w:rsid w:val="000949DF"/>
    <w:rsid w:val="00095962"/>
    <w:rsid w:val="00095E83"/>
    <w:rsid w:val="000963B3"/>
    <w:rsid w:val="00096B4C"/>
    <w:rsid w:val="000A017D"/>
    <w:rsid w:val="000A047D"/>
    <w:rsid w:val="000A08B8"/>
    <w:rsid w:val="000A11D3"/>
    <w:rsid w:val="000A4A0A"/>
    <w:rsid w:val="000A685E"/>
    <w:rsid w:val="000A6976"/>
    <w:rsid w:val="000A6EDD"/>
    <w:rsid w:val="000A704E"/>
    <w:rsid w:val="000A76C6"/>
    <w:rsid w:val="000B18F2"/>
    <w:rsid w:val="000B2CDB"/>
    <w:rsid w:val="000B3259"/>
    <w:rsid w:val="000B3843"/>
    <w:rsid w:val="000B5464"/>
    <w:rsid w:val="000B5637"/>
    <w:rsid w:val="000B5FC2"/>
    <w:rsid w:val="000B65D5"/>
    <w:rsid w:val="000B7E30"/>
    <w:rsid w:val="000C0656"/>
    <w:rsid w:val="000C0891"/>
    <w:rsid w:val="000C0A73"/>
    <w:rsid w:val="000C1460"/>
    <w:rsid w:val="000C1E6A"/>
    <w:rsid w:val="000C2771"/>
    <w:rsid w:val="000C2862"/>
    <w:rsid w:val="000C46EB"/>
    <w:rsid w:val="000C5E64"/>
    <w:rsid w:val="000C6690"/>
    <w:rsid w:val="000C6956"/>
    <w:rsid w:val="000C6E17"/>
    <w:rsid w:val="000C7D26"/>
    <w:rsid w:val="000D011E"/>
    <w:rsid w:val="000D0459"/>
    <w:rsid w:val="000D0621"/>
    <w:rsid w:val="000D25C1"/>
    <w:rsid w:val="000D32D4"/>
    <w:rsid w:val="000D40D6"/>
    <w:rsid w:val="000D42B9"/>
    <w:rsid w:val="000D4DD7"/>
    <w:rsid w:val="000D5832"/>
    <w:rsid w:val="000D5D93"/>
    <w:rsid w:val="000D70B6"/>
    <w:rsid w:val="000D7827"/>
    <w:rsid w:val="000D7D3D"/>
    <w:rsid w:val="000E10A5"/>
    <w:rsid w:val="000E1646"/>
    <w:rsid w:val="000E1FF1"/>
    <w:rsid w:val="000E2193"/>
    <w:rsid w:val="000E2687"/>
    <w:rsid w:val="000E27C4"/>
    <w:rsid w:val="000E2FDE"/>
    <w:rsid w:val="000E3BB0"/>
    <w:rsid w:val="000E4248"/>
    <w:rsid w:val="000E4A6B"/>
    <w:rsid w:val="000E5CA6"/>
    <w:rsid w:val="000E6767"/>
    <w:rsid w:val="000E677C"/>
    <w:rsid w:val="000E6A30"/>
    <w:rsid w:val="000E753E"/>
    <w:rsid w:val="000E7887"/>
    <w:rsid w:val="000E7E9D"/>
    <w:rsid w:val="000F090E"/>
    <w:rsid w:val="000F0EF2"/>
    <w:rsid w:val="000F20CC"/>
    <w:rsid w:val="000F32DB"/>
    <w:rsid w:val="000F4580"/>
    <w:rsid w:val="00100CFA"/>
    <w:rsid w:val="00100D9C"/>
    <w:rsid w:val="00101464"/>
    <w:rsid w:val="00101F1A"/>
    <w:rsid w:val="0010347B"/>
    <w:rsid w:val="00103B33"/>
    <w:rsid w:val="00104774"/>
    <w:rsid w:val="0010551A"/>
    <w:rsid w:val="00105631"/>
    <w:rsid w:val="00105B8D"/>
    <w:rsid w:val="00110481"/>
    <w:rsid w:val="001108EF"/>
    <w:rsid w:val="0011131D"/>
    <w:rsid w:val="0011272D"/>
    <w:rsid w:val="00112FF2"/>
    <w:rsid w:val="0011334A"/>
    <w:rsid w:val="0011518C"/>
    <w:rsid w:val="001151BA"/>
    <w:rsid w:val="00115463"/>
    <w:rsid w:val="00116294"/>
    <w:rsid w:val="0011660D"/>
    <w:rsid w:val="00117D2A"/>
    <w:rsid w:val="001210C5"/>
    <w:rsid w:val="001216A9"/>
    <w:rsid w:val="00121D2C"/>
    <w:rsid w:val="00121E44"/>
    <w:rsid w:val="001224AF"/>
    <w:rsid w:val="00123120"/>
    <w:rsid w:val="001234FB"/>
    <w:rsid w:val="001242E3"/>
    <w:rsid w:val="0012436E"/>
    <w:rsid w:val="00125ABA"/>
    <w:rsid w:val="00125C26"/>
    <w:rsid w:val="0012730F"/>
    <w:rsid w:val="00127A43"/>
    <w:rsid w:val="0013038C"/>
    <w:rsid w:val="00130EA0"/>
    <w:rsid w:val="00131209"/>
    <w:rsid w:val="00131FBF"/>
    <w:rsid w:val="00132081"/>
    <w:rsid w:val="001324E7"/>
    <w:rsid w:val="0013493B"/>
    <w:rsid w:val="00134AE1"/>
    <w:rsid w:val="00134E9E"/>
    <w:rsid w:val="00134EE9"/>
    <w:rsid w:val="001363DA"/>
    <w:rsid w:val="00137533"/>
    <w:rsid w:val="001375CC"/>
    <w:rsid w:val="00137CA2"/>
    <w:rsid w:val="00140A80"/>
    <w:rsid w:val="00140BD6"/>
    <w:rsid w:val="0014181A"/>
    <w:rsid w:val="00141D0A"/>
    <w:rsid w:val="0014214C"/>
    <w:rsid w:val="00145064"/>
    <w:rsid w:val="00147451"/>
    <w:rsid w:val="001479BA"/>
    <w:rsid w:val="001508F1"/>
    <w:rsid w:val="0015137E"/>
    <w:rsid w:val="00151FA8"/>
    <w:rsid w:val="00151FFE"/>
    <w:rsid w:val="0015258A"/>
    <w:rsid w:val="001526C6"/>
    <w:rsid w:val="00152859"/>
    <w:rsid w:val="001529B9"/>
    <w:rsid w:val="001537B4"/>
    <w:rsid w:val="0015437A"/>
    <w:rsid w:val="0015482D"/>
    <w:rsid w:val="001548BB"/>
    <w:rsid w:val="00155149"/>
    <w:rsid w:val="00155483"/>
    <w:rsid w:val="0015589B"/>
    <w:rsid w:val="00155E84"/>
    <w:rsid w:val="00156683"/>
    <w:rsid w:val="0016065E"/>
    <w:rsid w:val="00160815"/>
    <w:rsid w:val="001617BF"/>
    <w:rsid w:val="00161812"/>
    <w:rsid w:val="00161F68"/>
    <w:rsid w:val="001622BF"/>
    <w:rsid w:val="00163A7B"/>
    <w:rsid w:val="00163BA7"/>
    <w:rsid w:val="00163BFC"/>
    <w:rsid w:val="00163D2D"/>
    <w:rsid w:val="00163E31"/>
    <w:rsid w:val="0016447C"/>
    <w:rsid w:val="001646C6"/>
    <w:rsid w:val="00166C37"/>
    <w:rsid w:val="00170245"/>
    <w:rsid w:val="00170A58"/>
    <w:rsid w:val="001734EC"/>
    <w:rsid w:val="0017391A"/>
    <w:rsid w:val="00174B12"/>
    <w:rsid w:val="00174F51"/>
    <w:rsid w:val="00175065"/>
    <w:rsid w:val="00176004"/>
    <w:rsid w:val="00176431"/>
    <w:rsid w:val="0017726D"/>
    <w:rsid w:val="001773FA"/>
    <w:rsid w:val="00180F2A"/>
    <w:rsid w:val="00181DF5"/>
    <w:rsid w:val="001820FD"/>
    <w:rsid w:val="00184E0B"/>
    <w:rsid w:val="001855AB"/>
    <w:rsid w:val="00185C4A"/>
    <w:rsid w:val="001871EE"/>
    <w:rsid w:val="001900F3"/>
    <w:rsid w:val="00190287"/>
    <w:rsid w:val="0019071B"/>
    <w:rsid w:val="0019080D"/>
    <w:rsid w:val="00191030"/>
    <w:rsid w:val="00191CBD"/>
    <w:rsid w:val="001939D1"/>
    <w:rsid w:val="00194858"/>
    <w:rsid w:val="001956F2"/>
    <w:rsid w:val="00195FB2"/>
    <w:rsid w:val="00196191"/>
    <w:rsid w:val="0019625B"/>
    <w:rsid w:val="00196859"/>
    <w:rsid w:val="00196C1B"/>
    <w:rsid w:val="00196EFF"/>
    <w:rsid w:val="001972B6"/>
    <w:rsid w:val="001A0092"/>
    <w:rsid w:val="001A017C"/>
    <w:rsid w:val="001A0563"/>
    <w:rsid w:val="001A17BA"/>
    <w:rsid w:val="001A2CB3"/>
    <w:rsid w:val="001A2F3C"/>
    <w:rsid w:val="001A3179"/>
    <w:rsid w:val="001A3EE3"/>
    <w:rsid w:val="001A4AEA"/>
    <w:rsid w:val="001A4B41"/>
    <w:rsid w:val="001A4C55"/>
    <w:rsid w:val="001A5586"/>
    <w:rsid w:val="001A5F1E"/>
    <w:rsid w:val="001A685E"/>
    <w:rsid w:val="001A6C64"/>
    <w:rsid w:val="001A7710"/>
    <w:rsid w:val="001B0836"/>
    <w:rsid w:val="001B08C6"/>
    <w:rsid w:val="001B0CA4"/>
    <w:rsid w:val="001B2782"/>
    <w:rsid w:val="001B3687"/>
    <w:rsid w:val="001B4B54"/>
    <w:rsid w:val="001B5F35"/>
    <w:rsid w:val="001B788C"/>
    <w:rsid w:val="001C066A"/>
    <w:rsid w:val="001C0913"/>
    <w:rsid w:val="001C28BF"/>
    <w:rsid w:val="001C35FF"/>
    <w:rsid w:val="001C4007"/>
    <w:rsid w:val="001C5721"/>
    <w:rsid w:val="001C66AD"/>
    <w:rsid w:val="001D0722"/>
    <w:rsid w:val="001D0D73"/>
    <w:rsid w:val="001D1225"/>
    <w:rsid w:val="001D1259"/>
    <w:rsid w:val="001D1709"/>
    <w:rsid w:val="001D1749"/>
    <w:rsid w:val="001D1AE4"/>
    <w:rsid w:val="001D2FA5"/>
    <w:rsid w:val="001D39CA"/>
    <w:rsid w:val="001D3A83"/>
    <w:rsid w:val="001D4010"/>
    <w:rsid w:val="001D4BB9"/>
    <w:rsid w:val="001D5448"/>
    <w:rsid w:val="001D55C7"/>
    <w:rsid w:val="001D56B3"/>
    <w:rsid w:val="001D577B"/>
    <w:rsid w:val="001D5D49"/>
    <w:rsid w:val="001D614D"/>
    <w:rsid w:val="001D682F"/>
    <w:rsid w:val="001D6944"/>
    <w:rsid w:val="001D7A78"/>
    <w:rsid w:val="001E0717"/>
    <w:rsid w:val="001E10F7"/>
    <w:rsid w:val="001E16C0"/>
    <w:rsid w:val="001E2BD3"/>
    <w:rsid w:val="001E3648"/>
    <w:rsid w:val="001E529F"/>
    <w:rsid w:val="001E5E0C"/>
    <w:rsid w:val="001E608C"/>
    <w:rsid w:val="001E6579"/>
    <w:rsid w:val="001E7546"/>
    <w:rsid w:val="001E76A8"/>
    <w:rsid w:val="001E7CCC"/>
    <w:rsid w:val="001F05FC"/>
    <w:rsid w:val="001F163C"/>
    <w:rsid w:val="001F1BE6"/>
    <w:rsid w:val="001F1E8B"/>
    <w:rsid w:val="001F27C4"/>
    <w:rsid w:val="001F296A"/>
    <w:rsid w:val="001F3DDC"/>
    <w:rsid w:val="001F41D1"/>
    <w:rsid w:val="001F41E9"/>
    <w:rsid w:val="001F4334"/>
    <w:rsid w:val="001F4775"/>
    <w:rsid w:val="001F4C97"/>
    <w:rsid w:val="001F532C"/>
    <w:rsid w:val="001F53CA"/>
    <w:rsid w:val="001F5915"/>
    <w:rsid w:val="001F5CB6"/>
    <w:rsid w:val="001F6D6B"/>
    <w:rsid w:val="001F6E69"/>
    <w:rsid w:val="001F7536"/>
    <w:rsid w:val="001F7573"/>
    <w:rsid w:val="001F76C4"/>
    <w:rsid w:val="002002F4"/>
    <w:rsid w:val="00200531"/>
    <w:rsid w:val="002006FA"/>
    <w:rsid w:val="0020134F"/>
    <w:rsid w:val="0020288E"/>
    <w:rsid w:val="002035CA"/>
    <w:rsid w:val="00203E3D"/>
    <w:rsid w:val="00204057"/>
    <w:rsid w:val="00204646"/>
    <w:rsid w:val="00204DB9"/>
    <w:rsid w:val="00204FCB"/>
    <w:rsid w:val="002052CC"/>
    <w:rsid w:val="00205A98"/>
    <w:rsid w:val="00207547"/>
    <w:rsid w:val="00211C4B"/>
    <w:rsid w:val="002150F3"/>
    <w:rsid w:val="00215170"/>
    <w:rsid w:val="00215A7B"/>
    <w:rsid w:val="00216113"/>
    <w:rsid w:val="00216127"/>
    <w:rsid w:val="002178AA"/>
    <w:rsid w:val="00221306"/>
    <w:rsid w:val="0022170D"/>
    <w:rsid w:val="00221BFB"/>
    <w:rsid w:val="00221C5E"/>
    <w:rsid w:val="002224B0"/>
    <w:rsid w:val="00222FE6"/>
    <w:rsid w:val="00224E39"/>
    <w:rsid w:val="00225004"/>
    <w:rsid w:val="0022589D"/>
    <w:rsid w:val="00225C75"/>
    <w:rsid w:val="00225F4C"/>
    <w:rsid w:val="00226707"/>
    <w:rsid w:val="00226B5B"/>
    <w:rsid w:val="00226BAD"/>
    <w:rsid w:val="00227651"/>
    <w:rsid w:val="00231B0C"/>
    <w:rsid w:val="00232649"/>
    <w:rsid w:val="00232B4C"/>
    <w:rsid w:val="00233B4A"/>
    <w:rsid w:val="002344CA"/>
    <w:rsid w:val="00234CB9"/>
    <w:rsid w:val="00234D7A"/>
    <w:rsid w:val="00236C86"/>
    <w:rsid w:val="0023705C"/>
    <w:rsid w:val="002376EC"/>
    <w:rsid w:val="002409A4"/>
    <w:rsid w:val="00241331"/>
    <w:rsid w:val="002413EA"/>
    <w:rsid w:val="002422BF"/>
    <w:rsid w:val="0024256B"/>
    <w:rsid w:val="00242B9B"/>
    <w:rsid w:val="0024312F"/>
    <w:rsid w:val="002449BA"/>
    <w:rsid w:val="00245D14"/>
    <w:rsid w:val="002468EF"/>
    <w:rsid w:val="00247215"/>
    <w:rsid w:val="0024795F"/>
    <w:rsid w:val="00247DCE"/>
    <w:rsid w:val="00251150"/>
    <w:rsid w:val="00251230"/>
    <w:rsid w:val="00251315"/>
    <w:rsid w:val="00253335"/>
    <w:rsid w:val="0025362F"/>
    <w:rsid w:val="002538C5"/>
    <w:rsid w:val="00253A06"/>
    <w:rsid w:val="00253A66"/>
    <w:rsid w:val="0025491A"/>
    <w:rsid w:val="00254B8B"/>
    <w:rsid w:val="00255721"/>
    <w:rsid w:val="00255D17"/>
    <w:rsid w:val="00255E1F"/>
    <w:rsid w:val="00255F7D"/>
    <w:rsid w:val="002569DB"/>
    <w:rsid w:val="00257D4D"/>
    <w:rsid w:val="00257DCF"/>
    <w:rsid w:val="00260142"/>
    <w:rsid w:val="002609B0"/>
    <w:rsid w:val="00260C8D"/>
    <w:rsid w:val="00260F7B"/>
    <w:rsid w:val="00261E45"/>
    <w:rsid w:val="00262766"/>
    <w:rsid w:val="00262C31"/>
    <w:rsid w:val="00264B60"/>
    <w:rsid w:val="00264DFC"/>
    <w:rsid w:val="002652E7"/>
    <w:rsid w:val="00265C0B"/>
    <w:rsid w:val="00266133"/>
    <w:rsid w:val="002672AD"/>
    <w:rsid w:val="00267513"/>
    <w:rsid w:val="002703CC"/>
    <w:rsid w:val="0027080D"/>
    <w:rsid w:val="00271035"/>
    <w:rsid w:val="0027188A"/>
    <w:rsid w:val="002726C2"/>
    <w:rsid w:val="002727D7"/>
    <w:rsid w:val="002736B3"/>
    <w:rsid w:val="00273C86"/>
    <w:rsid w:val="00273E8D"/>
    <w:rsid w:val="00273EDE"/>
    <w:rsid w:val="0027451C"/>
    <w:rsid w:val="002747B0"/>
    <w:rsid w:val="00274826"/>
    <w:rsid w:val="002749BF"/>
    <w:rsid w:val="00275AD4"/>
    <w:rsid w:val="00276B34"/>
    <w:rsid w:val="00276E70"/>
    <w:rsid w:val="0027741D"/>
    <w:rsid w:val="00277EBE"/>
    <w:rsid w:val="002801BA"/>
    <w:rsid w:val="002801F0"/>
    <w:rsid w:val="00280BC3"/>
    <w:rsid w:val="00280C31"/>
    <w:rsid w:val="00281BFE"/>
    <w:rsid w:val="00281EBE"/>
    <w:rsid w:val="0028278D"/>
    <w:rsid w:val="00283655"/>
    <w:rsid w:val="00283A4F"/>
    <w:rsid w:val="00284751"/>
    <w:rsid w:val="002853B1"/>
    <w:rsid w:val="00286161"/>
    <w:rsid w:val="0028668A"/>
    <w:rsid w:val="0028796C"/>
    <w:rsid w:val="00287E4E"/>
    <w:rsid w:val="002905A0"/>
    <w:rsid w:val="00290D79"/>
    <w:rsid w:val="002911D8"/>
    <w:rsid w:val="00292C62"/>
    <w:rsid w:val="0029350F"/>
    <w:rsid w:val="00293DDD"/>
    <w:rsid w:val="0029425F"/>
    <w:rsid w:val="002945EB"/>
    <w:rsid w:val="00294A09"/>
    <w:rsid w:val="00295A5C"/>
    <w:rsid w:val="00295E3D"/>
    <w:rsid w:val="00295E8A"/>
    <w:rsid w:val="002976AD"/>
    <w:rsid w:val="00297C75"/>
    <w:rsid w:val="002A09A1"/>
    <w:rsid w:val="002A12DE"/>
    <w:rsid w:val="002A1A14"/>
    <w:rsid w:val="002A23EB"/>
    <w:rsid w:val="002A31FA"/>
    <w:rsid w:val="002A3B27"/>
    <w:rsid w:val="002A58AC"/>
    <w:rsid w:val="002A6A7C"/>
    <w:rsid w:val="002A6E84"/>
    <w:rsid w:val="002A727E"/>
    <w:rsid w:val="002A79EF"/>
    <w:rsid w:val="002A7AF7"/>
    <w:rsid w:val="002B003F"/>
    <w:rsid w:val="002B08AC"/>
    <w:rsid w:val="002B0E3E"/>
    <w:rsid w:val="002B1022"/>
    <w:rsid w:val="002B1641"/>
    <w:rsid w:val="002B186A"/>
    <w:rsid w:val="002B1934"/>
    <w:rsid w:val="002B1E0A"/>
    <w:rsid w:val="002B2605"/>
    <w:rsid w:val="002B4470"/>
    <w:rsid w:val="002B6662"/>
    <w:rsid w:val="002B7C86"/>
    <w:rsid w:val="002C15E9"/>
    <w:rsid w:val="002C2D1E"/>
    <w:rsid w:val="002C2DCC"/>
    <w:rsid w:val="002C3065"/>
    <w:rsid w:val="002C33EF"/>
    <w:rsid w:val="002C3691"/>
    <w:rsid w:val="002C37DD"/>
    <w:rsid w:val="002C464A"/>
    <w:rsid w:val="002C52D9"/>
    <w:rsid w:val="002C5D57"/>
    <w:rsid w:val="002C6C23"/>
    <w:rsid w:val="002C7040"/>
    <w:rsid w:val="002C7609"/>
    <w:rsid w:val="002C78D9"/>
    <w:rsid w:val="002D073A"/>
    <w:rsid w:val="002D0B8D"/>
    <w:rsid w:val="002D1D56"/>
    <w:rsid w:val="002D220F"/>
    <w:rsid w:val="002D3072"/>
    <w:rsid w:val="002D31E4"/>
    <w:rsid w:val="002D3219"/>
    <w:rsid w:val="002D3AC4"/>
    <w:rsid w:val="002D45FA"/>
    <w:rsid w:val="002D5963"/>
    <w:rsid w:val="002D7016"/>
    <w:rsid w:val="002D72AB"/>
    <w:rsid w:val="002D78C6"/>
    <w:rsid w:val="002E074E"/>
    <w:rsid w:val="002E28C3"/>
    <w:rsid w:val="002E438E"/>
    <w:rsid w:val="002E46C1"/>
    <w:rsid w:val="002E5775"/>
    <w:rsid w:val="002E5BEE"/>
    <w:rsid w:val="002E76CE"/>
    <w:rsid w:val="002F0A4B"/>
    <w:rsid w:val="002F0C20"/>
    <w:rsid w:val="002F19DD"/>
    <w:rsid w:val="002F29E9"/>
    <w:rsid w:val="002F2FBB"/>
    <w:rsid w:val="002F3219"/>
    <w:rsid w:val="002F489B"/>
    <w:rsid w:val="002F4E1F"/>
    <w:rsid w:val="002F530F"/>
    <w:rsid w:val="002F5451"/>
    <w:rsid w:val="002F6A31"/>
    <w:rsid w:val="002F6D5C"/>
    <w:rsid w:val="00301840"/>
    <w:rsid w:val="00302652"/>
    <w:rsid w:val="003026A0"/>
    <w:rsid w:val="00302E29"/>
    <w:rsid w:val="0030407F"/>
    <w:rsid w:val="00304233"/>
    <w:rsid w:val="00304D2D"/>
    <w:rsid w:val="003052C6"/>
    <w:rsid w:val="0030552B"/>
    <w:rsid w:val="00306254"/>
    <w:rsid w:val="00306260"/>
    <w:rsid w:val="00306BE1"/>
    <w:rsid w:val="00306D03"/>
    <w:rsid w:val="0030787C"/>
    <w:rsid w:val="0031008B"/>
    <w:rsid w:val="00310493"/>
    <w:rsid w:val="00311BA9"/>
    <w:rsid w:val="00313DEB"/>
    <w:rsid w:val="00313E1E"/>
    <w:rsid w:val="00314910"/>
    <w:rsid w:val="00316339"/>
    <w:rsid w:val="00316C40"/>
    <w:rsid w:val="0031700E"/>
    <w:rsid w:val="003203CD"/>
    <w:rsid w:val="00320BDB"/>
    <w:rsid w:val="0032118C"/>
    <w:rsid w:val="00322320"/>
    <w:rsid w:val="003224B7"/>
    <w:rsid w:val="00322BD5"/>
    <w:rsid w:val="00322C83"/>
    <w:rsid w:val="0032313C"/>
    <w:rsid w:val="003234B2"/>
    <w:rsid w:val="00323510"/>
    <w:rsid w:val="00323C5D"/>
    <w:rsid w:val="003247F1"/>
    <w:rsid w:val="00324B1F"/>
    <w:rsid w:val="00324BE4"/>
    <w:rsid w:val="003260B2"/>
    <w:rsid w:val="00326F37"/>
    <w:rsid w:val="00327076"/>
    <w:rsid w:val="003270C9"/>
    <w:rsid w:val="00330505"/>
    <w:rsid w:val="00330C8D"/>
    <w:rsid w:val="003319CF"/>
    <w:rsid w:val="00331B18"/>
    <w:rsid w:val="00331C6B"/>
    <w:rsid w:val="00331D76"/>
    <w:rsid w:val="0033290D"/>
    <w:rsid w:val="00332D11"/>
    <w:rsid w:val="00333640"/>
    <w:rsid w:val="003336B1"/>
    <w:rsid w:val="003336DD"/>
    <w:rsid w:val="00333F69"/>
    <w:rsid w:val="003341C5"/>
    <w:rsid w:val="00334443"/>
    <w:rsid w:val="0033472E"/>
    <w:rsid w:val="00337520"/>
    <w:rsid w:val="00337E09"/>
    <w:rsid w:val="0034033F"/>
    <w:rsid w:val="00340DC8"/>
    <w:rsid w:val="0034120B"/>
    <w:rsid w:val="003417B5"/>
    <w:rsid w:val="00341971"/>
    <w:rsid w:val="0034201C"/>
    <w:rsid w:val="0034259B"/>
    <w:rsid w:val="00343D49"/>
    <w:rsid w:val="00346655"/>
    <w:rsid w:val="003475D9"/>
    <w:rsid w:val="00350898"/>
    <w:rsid w:val="00350DD5"/>
    <w:rsid w:val="00350F69"/>
    <w:rsid w:val="00351079"/>
    <w:rsid w:val="00351A36"/>
    <w:rsid w:val="0035208F"/>
    <w:rsid w:val="00352B90"/>
    <w:rsid w:val="003533F4"/>
    <w:rsid w:val="00353A9C"/>
    <w:rsid w:val="003545EB"/>
    <w:rsid w:val="00354FF4"/>
    <w:rsid w:val="00355072"/>
    <w:rsid w:val="00355A18"/>
    <w:rsid w:val="00355A66"/>
    <w:rsid w:val="00355AC7"/>
    <w:rsid w:val="003602D3"/>
    <w:rsid w:val="003605E9"/>
    <w:rsid w:val="00361023"/>
    <w:rsid w:val="00361092"/>
    <w:rsid w:val="00361961"/>
    <w:rsid w:val="00361D52"/>
    <w:rsid w:val="00361E94"/>
    <w:rsid w:val="00363BC9"/>
    <w:rsid w:val="00364584"/>
    <w:rsid w:val="00364BE8"/>
    <w:rsid w:val="00364C8A"/>
    <w:rsid w:val="0036536D"/>
    <w:rsid w:val="0036561A"/>
    <w:rsid w:val="0036568C"/>
    <w:rsid w:val="0036574B"/>
    <w:rsid w:val="00367E4F"/>
    <w:rsid w:val="0037010A"/>
    <w:rsid w:val="00370DFE"/>
    <w:rsid w:val="0037140E"/>
    <w:rsid w:val="00371BC1"/>
    <w:rsid w:val="00371D3B"/>
    <w:rsid w:val="00372C05"/>
    <w:rsid w:val="00373A41"/>
    <w:rsid w:val="00373B59"/>
    <w:rsid w:val="003744FB"/>
    <w:rsid w:val="0037475D"/>
    <w:rsid w:val="0037484D"/>
    <w:rsid w:val="003748AE"/>
    <w:rsid w:val="003755FD"/>
    <w:rsid w:val="003773D8"/>
    <w:rsid w:val="003776F2"/>
    <w:rsid w:val="003777E4"/>
    <w:rsid w:val="003803CA"/>
    <w:rsid w:val="003807A3"/>
    <w:rsid w:val="00380F80"/>
    <w:rsid w:val="00380FF5"/>
    <w:rsid w:val="003814AB"/>
    <w:rsid w:val="00381AAD"/>
    <w:rsid w:val="00383835"/>
    <w:rsid w:val="00384E86"/>
    <w:rsid w:val="00385780"/>
    <w:rsid w:val="00385845"/>
    <w:rsid w:val="00386642"/>
    <w:rsid w:val="00386F3F"/>
    <w:rsid w:val="00387460"/>
    <w:rsid w:val="0039042A"/>
    <w:rsid w:val="00392781"/>
    <w:rsid w:val="00393447"/>
    <w:rsid w:val="00394756"/>
    <w:rsid w:val="00395594"/>
    <w:rsid w:val="003960B4"/>
    <w:rsid w:val="00396363"/>
    <w:rsid w:val="00396A1D"/>
    <w:rsid w:val="0039772F"/>
    <w:rsid w:val="0039797C"/>
    <w:rsid w:val="003A0125"/>
    <w:rsid w:val="003A0530"/>
    <w:rsid w:val="003A178B"/>
    <w:rsid w:val="003A18BD"/>
    <w:rsid w:val="003A23A6"/>
    <w:rsid w:val="003A2A64"/>
    <w:rsid w:val="003A2B29"/>
    <w:rsid w:val="003A36A9"/>
    <w:rsid w:val="003A3C17"/>
    <w:rsid w:val="003A494F"/>
    <w:rsid w:val="003A4D6B"/>
    <w:rsid w:val="003A5602"/>
    <w:rsid w:val="003A5C59"/>
    <w:rsid w:val="003A6184"/>
    <w:rsid w:val="003A6449"/>
    <w:rsid w:val="003A66E2"/>
    <w:rsid w:val="003A6B4F"/>
    <w:rsid w:val="003A6CC8"/>
    <w:rsid w:val="003A769D"/>
    <w:rsid w:val="003A7817"/>
    <w:rsid w:val="003A7A6D"/>
    <w:rsid w:val="003A7B0F"/>
    <w:rsid w:val="003B0E74"/>
    <w:rsid w:val="003B203A"/>
    <w:rsid w:val="003B2FFD"/>
    <w:rsid w:val="003B36E8"/>
    <w:rsid w:val="003B4871"/>
    <w:rsid w:val="003B56ED"/>
    <w:rsid w:val="003B5C60"/>
    <w:rsid w:val="003B6294"/>
    <w:rsid w:val="003B7172"/>
    <w:rsid w:val="003C01AA"/>
    <w:rsid w:val="003C0E92"/>
    <w:rsid w:val="003C2163"/>
    <w:rsid w:val="003C219B"/>
    <w:rsid w:val="003C2533"/>
    <w:rsid w:val="003C2E6B"/>
    <w:rsid w:val="003C43FA"/>
    <w:rsid w:val="003C44C8"/>
    <w:rsid w:val="003C5041"/>
    <w:rsid w:val="003C7031"/>
    <w:rsid w:val="003C7394"/>
    <w:rsid w:val="003C7834"/>
    <w:rsid w:val="003C7AB6"/>
    <w:rsid w:val="003D0766"/>
    <w:rsid w:val="003D1086"/>
    <w:rsid w:val="003D1C4D"/>
    <w:rsid w:val="003D3088"/>
    <w:rsid w:val="003D4140"/>
    <w:rsid w:val="003D5161"/>
    <w:rsid w:val="003D527E"/>
    <w:rsid w:val="003D6401"/>
    <w:rsid w:val="003D66E5"/>
    <w:rsid w:val="003D6C72"/>
    <w:rsid w:val="003D7781"/>
    <w:rsid w:val="003E0361"/>
    <w:rsid w:val="003E07EE"/>
    <w:rsid w:val="003E1AB6"/>
    <w:rsid w:val="003E1BAA"/>
    <w:rsid w:val="003E2326"/>
    <w:rsid w:val="003E26A5"/>
    <w:rsid w:val="003E2EFE"/>
    <w:rsid w:val="003E3463"/>
    <w:rsid w:val="003E3B7F"/>
    <w:rsid w:val="003E3B90"/>
    <w:rsid w:val="003E3CCC"/>
    <w:rsid w:val="003E4953"/>
    <w:rsid w:val="003E535E"/>
    <w:rsid w:val="003E5D5F"/>
    <w:rsid w:val="003E6B2C"/>
    <w:rsid w:val="003F022F"/>
    <w:rsid w:val="003F02E4"/>
    <w:rsid w:val="003F0652"/>
    <w:rsid w:val="003F0B6A"/>
    <w:rsid w:val="003F0BA0"/>
    <w:rsid w:val="003F1659"/>
    <w:rsid w:val="003F218B"/>
    <w:rsid w:val="003F2A23"/>
    <w:rsid w:val="003F2D74"/>
    <w:rsid w:val="003F3F06"/>
    <w:rsid w:val="003F5CFD"/>
    <w:rsid w:val="003F764E"/>
    <w:rsid w:val="004006A8"/>
    <w:rsid w:val="004020CC"/>
    <w:rsid w:val="00402E69"/>
    <w:rsid w:val="004030C2"/>
    <w:rsid w:val="00403C44"/>
    <w:rsid w:val="004065B4"/>
    <w:rsid w:val="00406C0F"/>
    <w:rsid w:val="004076BF"/>
    <w:rsid w:val="0040788A"/>
    <w:rsid w:val="00407DE3"/>
    <w:rsid w:val="00410D43"/>
    <w:rsid w:val="0041187B"/>
    <w:rsid w:val="00412206"/>
    <w:rsid w:val="0041256C"/>
    <w:rsid w:val="00412A82"/>
    <w:rsid w:val="00412DD6"/>
    <w:rsid w:val="00413634"/>
    <w:rsid w:val="0041411E"/>
    <w:rsid w:val="004153E1"/>
    <w:rsid w:val="00416903"/>
    <w:rsid w:val="00417D83"/>
    <w:rsid w:val="00417DD3"/>
    <w:rsid w:val="00420250"/>
    <w:rsid w:val="0042085E"/>
    <w:rsid w:val="00420C94"/>
    <w:rsid w:val="00421023"/>
    <w:rsid w:val="00421512"/>
    <w:rsid w:val="00421C6A"/>
    <w:rsid w:val="004234EB"/>
    <w:rsid w:val="0042385B"/>
    <w:rsid w:val="00423CCF"/>
    <w:rsid w:val="00424CB5"/>
    <w:rsid w:val="00425008"/>
    <w:rsid w:val="00425162"/>
    <w:rsid w:val="00425B16"/>
    <w:rsid w:val="0042660C"/>
    <w:rsid w:val="00426F64"/>
    <w:rsid w:val="00427AAB"/>
    <w:rsid w:val="004306B0"/>
    <w:rsid w:val="00432ACF"/>
    <w:rsid w:val="004353C2"/>
    <w:rsid w:val="00435F08"/>
    <w:rsid w:val="004368E6"/>
    <w:rsid w:val="004375C4"/>
    <w:rsid w:val="004407E5"/>
    <w:rsid w:val="00440F60"/>
    <w:rsid w:val="0044263D"/>
    <w:rsid w:val="00442786"/>
    <w:rsid w:val="00442AB4"/>
    <w:rsid w:val="004433B6"/>
    <w:rsid w:val="0044419D"/>
    <w:rsid w:val="00444EFF"/>
    <w:rsid w:val="00445193"/>
    <w:rsid w:val="0044540A"/>
    <w:rsid w:val="004456F2"/>
    <w:rsid w:val="004459AA"/>
    <w:rsid w:val="00446535"/>
    <w:rsid w:val="00446BE4"/>
    <w:rsid w:val="004470CF"/>
    <w:rsid w:val="00447B6C"/>
    <w:rsid w:val="00450B80"/>
    <w:rsid w:val="004510EE"/>
    <w:rsid w:val="004523E6"/>
    <w:rsid w:val="00452A6E"/>
    <w:rsid w:val="00452C37"/>
    <w:rsid w:val="004536CD"/>
    <w:rsid w:val="00453D57"/>
    <w:rsid w:val="00454582"/>
    <w:rsid w:val="00455ADC"/>
    <w:rsid w:val="0045648A"/>
    <w:rsid w:val="0045735D"/>
    <w:rsid w:val="00457365"/>
    <w:rsid w:val="00457419"/>
    <w:rsid w:val="004575A1"/>
    <w:rsid w:val="00457943"/>
    <w:rsid w:val="00457AC4"/>
    <w:rsid w:val="0046094C"/>
    <w:rsid w:val="00461422"/>
    <w:rsid w:val="00461BBC"/>
    <w:rsid w:val="00461DEE"/>
    <w:rsid w:val="004629C7"/>
    <w:rsid w:val="0046345D"/>
    <w:rsid w:val="004646B4"/>
    <w:rsid w:val="004646C1"/>
    <w:rsid w:val="00464B3B"/>
    <w:rsid w:val="00464F10"/>
    <w:rsid w:val="00465BD7"/>
    <w:rsid w:val="004663BA"/>
    <w:rsid w:val="004667EF"/>
    <w:rsid w:val="00466BB1"/>
    <w:rsid w:val="00467F06"/>
    <w:rsid w:val="004700FD"/>
    <w:rsid w:val="004704A2"/>
    <w:rsid w:val="00471714"/>
    <w:rsid w:val="0047187B"/>
    <w:rsid w:val="00472030"/>
    <w:rsid w:val="00472CBC"/>
    <w:rsid w:val="004733C1"/>
    <w:rsid w:val="00474170"/>
    <w:rsid w:val="00474391"/>
    <w:rsid w:val="00476B1D"/>
    <w:rsid w:val="00476B9F"/>
    <w:rsid w:val="00476DD3"/>
    <w:rsid w:val="004771CF"/>
    <w:rsid w:val="004775A4"/>
    <w:rsid w:val="004778FD"/>
    <w:rsid w:val="00477B94"/>
    <w:rsid w:val="004807A2"/>
    <w:rsid w:val="00480F24"/>
    <w:rsid w:val="004817A6"/>
    <w:rsid w:val="004818D5"/>
    <w:rsid w:val="00482209"/>
    <w:rsid w:val="00482460"/>
    <w:rsid w:val="004833E6"/>
    <w:rsid w:val="00483CFF"/>
    <w:rsid w:val="00483DEA"/>
    <w:rsid w:val="004843D6"/>
    <w:rsid w:val="004849C6"/>
    <w:rsid w:val="00485EB9"/>
    <w:rsid w:val="00486E3D"/>
    <w:rsid w:val="004918DF"/>
    <w:rsid w:val="00491DB2"/>
    <w:rsid w:val="00491EC2"/>
    <w:rsid w:val="00491F61"/>
    <w:rsid w:val="004934D0"/>
    <w:rsid w:val="004936CF"/>
    <w:rsid w:val="004938CA"/>
    <w:rsid w:val="004938F1"/>
    <w:rsid w:val="00493D88"/>
    <w:rsid w:val="00494286"/>
    <w:rsid w:val="00494BF7"/>
    <w:rsid w:val="00495633"/>
    <w:rsid w:val="00495CEE"/>
    <w:rsid w:val="00495FE9"/>
    <w:rsid w:val="00496420"/>
    <w:rsid w:val="00496B66"/>
    <w:rsid w:val="004976EB"/>
    <w:rsid w:val="004A114D"/>
    <w:rsid w:val="004A1397"/>
    <w:rsid w:val="004A1426"/>
    <w:rsid w:val="004A1BE8"/>
    <w:rsid w:val="004A20F3"/>
    <w:rsid w:val="004A2145"/>
    <w:rsid w:val="004A2571"/>
    <w:rsid w:val="004A285B"/>
    <w:rsid w:val="004A3584"/>
    <w:rsid w:val="004A47B5"/>
    <w:rsid w:val="004A54AA"/>
    <w:rsid w:val="004A5E79"/>
    <w:rsid w:val="004A60F0"/>
    <w:rsid w:val="004A6F4B"/>
    <w:rsid w:val="004B0E5F"/>
    <w:rsid w:val="004B14F7"/>
    <w:rsid w:val="004B16B6"/>
    <w:rsid w:val="004B1B6A"/>
    <w:rsid w:val="004B1FFD"/>
    <w:rsid w:val="004B2126"/>
    <w:rsid w:val="004B2D4C"/>
    <w:rsid w:val="004B3D91"/>
    <w:rsid w:val="004B6130"/>
    <w:rsid w:val="004B63CA"/>
    <w:rsid w:val="004B6EE2"/>
    <w:rsid w:val="004B73DE"/>
    <w:rsid w:val="004B74ED"/>
    <w:rsid w:val="004B7B25"/>
    <w:rsid w:val="004C039D"/>
    <w:rsid w:val="004C0529"/>
    <w:rsid w:val="004C157F"/>
    <w:rsid w:val="004C1B38"/>
    <w:rsid w:val="004C21D3"/>
    <w:rsid w:val="004C332C"/>
    <w:rsid w:val="004C3692"/>
    <w:rsid w:val="004C39CA"/>
    <w:rsid w:val="004C3B0D"/>
    <w:rsid w:val="004C771F"/>
    <w:rsid w:val="004C7AA5"/>
    <w:rsid w:val="004C7AE4"/>
    <w:rsid w:val="004D1F8D"/>
    <w:rsid w:val="004D27F6"/>
    <w:rsid w:val="004D2C3D"/>
    <w:rsid w:val="004D2EE3"/>
    <w:rsid w:val="004D3A90"/>
    <w:rsid w:val="004D3BAB"/>
    <w:rsid w:val="004D4B81"/>
    <w:rsid w:val="004D676B"/>
    <w:rsid w:val="004D6A0A"/>
    <w:rsid w:val="004D6E64"/>
    <w:rsid w:val="004D720C"/>
    <w:rsid w:val="004D7E78"/>
    <w:rsid w:val="004E0A5D"/>
    <w:rsid w:val="004E116D"/>
    <w:rsid w:val="004E162C"/>
    <w:rsid w:val="004E17C1"/>
    <w:rsid w:val="004E1B5D"/>
    <w:rsid w:val="004E3030"/>
    <w:rsid w:val="004E37B2"/>
    <w:rsid w:val="004E3BBC"/>
    <w:rsid w:val="004E41B0"/>
    <w:rsid w:val="004E43DF"/>
    <w:rsid w:val="004E5452"/>
    <w:rsid w:val="004E593B"/>
    <w:rsid w:val="004E5D9B"/>
    <w:rsid w:val="004E67DE"/>
    <w:rsid w:val="004E7FB9"/>
    <w:rsid w:val="004F05D5"/>
    <w:rsid w:val="004F106F"/>
    <w:rsid w:val="004F2309"/>
    <w:rsid w:val="004F3F28"/>
    <w:rsid w:val="004F3F4A"/>
    <w:rsid w:val="004F4168"/>
    <w:rsid w:val="004F49FF"/>
    <w:rsid w:val="004F4AE3"/>
    <w:rsid w:val="004F585D"/>
    <w:rsid w:val="004F6BB5"/>
    <w:rsid w:val="00501615"/>
    <w:rsid w:val="0050292D"/>
    <w:rsid w:val="00503236"/>
    <w:rsid w:val="00503541"/>
    <w:rsid w:val="005044E8"/>
    <w:rsid w:val="00504BB6"/>
    <w:rsid w:val="00505DF6"/>
    <w:rsid w:val="0050621E"/>
    <w:rsid w:val="00506632"/>
    <w:rsid w:val="00507153"/>
    <w:rsid w:val="00511B7C"/>
    <w:rsid w:val="00512BD4"/>
    <w:rsid w:val="005137B1"/>
    <w:rsid w:val="00514FD7"/>
    <w:rsid w:val="00515A2A"/>
    <w:rsid w:val="00515DF9"/>
    <w:rsid w:val="00516703"/>
    <w:rsid w:val="00516983"/>
    <w:rsid w:val="00516F96"/>
    <w:rsid w:val="0052089C"/>
    <w:rsid w:val="00520DD1"/>
    <w:rsid w:val="005223A5"/>
    <w:rsid w:val="00522593"/>
    <w:rsid w:val="005225CA"/>
    <w:rsid w:val="00522C64"/>
    <w:rsid w:val="005230A0"/>
    <w:rsid w:val="00524312"/>
    <w:rsid w:val="00524576"/>
    <w:rsid w:val="00524863"/>
    <w:rsid w:val="00524F2B"/>
    <w:rsid w:val="00525ABA"/>
    <w:rsid w:val="00526D2D"/>
    <w:rsid w:val="00527641"/>
    <w:rsid w:val="005302B4"/>
    <w:rsid w:val="005303D4"/>
    <w:rsid w:val="005307F0"/>
    <w:rsid w:val="0053115C"/>
    <w:rsid w:val="005320F3"/>
    <w:rsid w:val="00532CB1"/>
    <w:rsid w:val="005334E9"/>
    <w:rsid w:val="00533EB7"/>
    <w:rsid w:val="0053483D"/>
    <w:rsid w:val="00535472"/>
    <w:rsid w:val="00535C08"/>
    <w:rsid w:val="0053625F"/>
    <w:rsid w:val="00536442"/>
    <w:rsid w:val="005365D7"/>
    <w:rsid w:val="0054067C"/>
    <w:rsid w:val="0054093C"/>
    <w:rsid w:val="005412D6"/>
    <w:rsid w:val="00541FD7"/>
    <w:rsid w:val="00542804"/>
    <w:rsid w:val="0054299A"/>
    <w:rsid w:val="005430DA"/>
    <w:rsid w:val="00545524"/>
    <w:rsid w:val="00545D63"/>
    <w:rsid w:val="00545D70"/>
    <w:rsid w:val="00545EB9"/>
    <w:rsid w:val="00546316"/>
    <w:rsid w:val="005463FA"/>
    <w:rsid w:val="005469D8"/>
    <w:rsid w:val="005475E5"/>
    <w:rsid w:val="005477FE"/>
    <w:rsid w:val="00547EAD"/>
    <w:rsid w:val="00551D33"/>
    <w:rsid w:val="00552C41"/>
    <w:rsid w:val="00554674"/>
    <w:rsid w:val="0055474D"/>
    <w:rsid w:val="005553C2"/>
    <w:rsid w:val="0055563A"/>
    <w:rsid w:val="00555990"/>
    <w:rsid w:val="00555B40"/>
    <w:rsid w:val="005564FE"/>
    <w:rsid w:val="00556678"/>
    <w:rsid w:val="00560258"/>
    <w:rsid w:val="005605DE"/>
    <w:rsid w:val="00561600"/>
    <w:rsid w:val="00561F5E"/>
    <w:rsid w:val="0056242C"/>
    <w:rsid w:val="00562644"/>
    <w:rsid w:val="00562A49"/>
    <w:rsid w:val="00563EBD"/>
    <w:rsid w:val="005645A6"/>
    <w:rsid w:val="005651B2"/>
    <w:rsid w:val="00570211"/>
    <w:rsid w:val="005702AD"/>
    <w:rsid w:val="0057087C"/>
    <w:rsid w:val="0057279E"/>
    <w:rsid w:val="005727B9"/>
    <w:rsid w:val="005729D4"/>
    <w:rsid w:val="00572B3A"/>
    <w:rsid w:val="005731FD"/>
    <w:rsid w:val="00574B07"/>
    <w:rsid w:val="00575875"/>
    <w:rsid w:val="00575884"/>
    <w:rsid w:val="00575A09"/>
    <w:rsid w:val="005762D4"/>
    <w:rsid w:val="0057649C"/>
    <w:rsid w:val="00576B11"/>
    <w:rsid w:val="00576B43"/>
    <w:rsid w:val="00576CC7"/>
    <w:rsid w:val="00577E85"/>
    <w:rsid w:val="00581E46"/>
    <w:rsid w:val="00584C15"/>
    <w:rsid w:val="00584EDE"/>
    <w:rsid w:val="00585830"/>
    <w:rsid w:val="00587E97"/>
    <w:rsid w:val="005901BF"/>
    <w:rsid w:val="00590944"/>
    <w:rsid w:val="00591D8E"/>
    <w:rsid w:val="005931D3"/>
    <w:rsid w:val="00593993"/>
    <w:rsid w:val="0059470A"/>
    <w:rsid w:val="0059489D"/>
    <w:rsid w:val="005956CD"/>
    <w:rsid w:val="005965F6"/>
    <w:rsid w:val="0059698D"/>
    <w:rsid w:val="00597719"/>
    <w:rsid w:val="005A00F8"/>
    <w:rsid w:val="005A01A2"/>
    <w:rsid w:val="005A06F1"/>
    <w:rsid w:val="005A083D"/>
    <w:rsid w:val="005A0A5C"/>
    <w:rsid w:val="005A1232"/>
    <w:rsid w:val="005A151A"/>
    <w:rsid w:val="005A2487"/>
    <w:rsid w:val="005A2620"/>
    <w:rsid w:val="005A4AA6"/>
    <w:rsid w:val="005A4F09"/>
    <w:rsid w:val="005A5F14"/>
    <w:rsid w:val="005A7BF3"/>
    <w:rsid w:val="005B074B"/>
    <w:rsid w:val="005B12B9"/>
    <w:rsid w:val="005B410D"/>
    <w:rsid w:val="005B4701"/>
    <w:rsid w:val="005B4EC3"/>
    <w:rsid w:val="005B4F4A"/>
    <w:rsid w:val="005B52D6"/>
    <w:rsid w:val="005B71DA"/>
    <w:rsid w:val="005B780A"/>
    <w:rsid w:val="005B784B"/>
    <w:rsid w:val="005B7982"/>
    <w:rsid w:val="005B7DEC"/>
    <w:rsid w:val="005C0003"/>
    <w:rsid w:val="005C2638"/>
    <w:rsid w:val="005C2CFC"/>
    <w:rsid w:val="005C3686"/>
    <w:rsid w:val="005C3C81"/>
    <w:rsid w:val="005C3F0F"/>
    <w:rsid w:val="005C48AD"/>
    <w:rsid w:val="005C48F3"/>
    <w:rsid w:val="005C4E9A"/>
    <w:rsid w:val="005C4F78"/>
    <w:rsid w:val="005C51E9"/>
    <w:rsid w:val="005C5890"/>
    <w:rsid w:val="005C6312"/>
    <w:rsid w:val="005C6331"/>
    <w:rsid w:val="005C640E"/>
    <w:rsid w:val="005C6CE3"/>
    <w:rsid w:val="005C6E7A"/>
    <w:rsid w:val="005C7323"/>
    <w:rsid w:val="005C789B"/>
    <w:rsid w:val="005C7F08"/>
    <w:rsid w:val="005D0430"/>
    <w:rsid w:val="005D0A72"/>
    <w:rsid w:val="005D0CBE"/>
    <w:rsid w:val="005D41C4"/>
    <w:rsid w:val="005D43F4"/>
    <w:rsid w:val="005D5E66"/>
    <w:rsid w:val="005D6362"/>
    <w:rsid w:val="005D6E6B"/>
    <w:rsid w:val="005D7694"/>
    <w:rsid w:val="005D7B12"/>
    <w:rsid w:val="005E0FDF"/>
    <w:rsid w:val="005E15BC"/>
    <w:rsid w:val="005E2C87"/>
    <w:rsid w:val="005E3786"/>
    <w:rsid w:val="005E48F4"/>
    <w:rsid w:val="005E4992"/>
    <w:rsid w:val="005E4ECF"/>
    <w:rsid w:val="005E51D3"/>
    <w:rsid w:val="005E5F96"/>
    <w:rsid w:val="005E6335"/>
    <w:rsid w:val="005E6BA3"/>
    <w:rsid w:val="005E6CDB"/>
    <w:rsid w:val="005E7DE3"/>
    <w:rsid w:val="005F016C"/>
    <w:rsid w:val="005F0437"/>
    <w:rsid w:val="005F098F"/>
    <w:rsid w:val="005F103C"/>
    <w:rsid w:val="005F22A1"/>
    <w:rsid w:val="005F28B5"/>
    <w:rsid w:val="005F28BC"/>
    <w:rsid w:val="005F330E"/>
    <w:rsid w:val="005F3B4F"/>
    <w:rsid w:val="005F42F3"/>
    <w:rsid w:val="005F5C96"/>
    <w:rsid w:val="005F704E"/>
    <w:rsid w:val="005F70D5"/>
    <w:rsid w:val="00601AAB"/>
    <w:rsid w:val="00602C4E"/>
    <w:rsid w:val="006030EE"/>
    <w:rsid w:val="006032AC"/>
    <w:rsid w:val="00603EBB"/>
    <w:rsid w:val="00604441"/>
    <w:rsid w:val="0060476D"/>
    <w:rsid w:val="00604986"/>
    <w:rsid w:val="00604C78"/>
    <w:rsid w:val="00605A66"/>
    <w:rsid w:val="00605B51"/>
    <w:rsid w:val="0060630F"/>
    <w:rsid w:val="00606827"/>
    <w:rsid w:val="00606C3D"/>
    <w:rsid w:val="00606F67"/>
    <w:rsid w:val="006076FC"/>
    <w:rsid w:val="006107B2"/>
    <w:rsid w:val="00610841"/>
    <w:rsid w:val="00610E60"/>
    <w:rsid w:val="006113C5"/>
    <w:rsid w:val="00611D48"/>
    <w:rsid w:val="00611F44"/>
    <w:rsid w:val="00612305"/>
    <w:rsid w:val="0061277E"/>
    <w:rsid w:val="00613A85"/>
    <w:rsid w:val="00614DDC"/>
    <w:rsid w:val="00615BEA"/>
    <w:rsid w:val="00616A8D"/>
    <w:rsid w:val="0062006B"/>
    <w:rsid w:val="006203FD"/>
    <w:rsid w:val="0062068B"/>
    <w:rsid w:val="00620E54"/>
    <w:rsid w:val="00621856"/>
    <w:rsid w:val="00622240"/>
    <w:rsid w:val="0062334A"/>
    <w:rsid w:val="00624230"/>
    <w:rsid w:val="0062433E"/>
    <w:rsid w:val="0062523D"/>
    <w:rsid w:val="006255CA"/>
    <w:rsid w:val="0062591A"/>
    <w:rsid w:val="00626220"/>
    <w:rsid w:val="00626B25"/>
    <w:rsid w:val="0062727F"/>
    <w:rsid w:val="006277B4"/>
    <w:rsid w:val="00627A00"/>
    <w:rsid w:val="006306FA"/>
    <w:rsid w:val="0063330F"/>
    <w:rsid w:val="00633774"/>
    <w:rsid w:val="006342F4"/>
    <w:rsid w:val="00634390"/>
    <w:rsid w:val="00636495"/>
    <w:rsid w:val="00636507"/>
    <w:rsid w:val="00640474"/>
    <w:rsid w:val="00641186"/>
    <w:rsid w:val="00642825"/>
    <w:rsid w:val="006428F9"/>
    <w:rsid w:val="0064297E"/>
    <w:rsid w:val="00642C5E"/>
    <w:rsid w:val="006438AE"/>
    <w:rsid w:val="00643BF0"/>
    <w:rsid w:val="00643C34"/>
    <w:rsid w:val="00645433"/>
    <w:rsid w:val="006458DB"/>
    <w:rsid w:val="00645F0E"/>
    <w:rsid w:val="006463C4"/>
    <w:rsid w:val="00646405"/>
    <w:rsid w:val="00646540"/>
    <w:rsid w:val="006474EE"/>
    <w:rsid w:val="0065032F"/>
    <w:rsid w:val="00650DEB"/>
    <w:rsid w:val="006510D6"/>
    <w:rsid w:val="006531E1"/>
    <w:rsid w:val="00653C14"/>
    <w:rsid w:val="00653D20"/>
    <w:rsid w:val="00654499"/>
    <w:rsid w:val="00655B5D"/>
    <w:rsid w:val="00655E93"/>
    <w:rsid w:val="00656A09"/>
    <w:rsid w:val="0065710D"/>
    <w:rsid w:val="00657D2A"/>
    <w:rsid w:val="0066124A"/>
    <w:rsid w:val="006615F4"/>
    <w:rsid w:val="006632D5"/>
    <w:rsid w:val="006648F2"/>
    <w:rsid w:val="0066529A"/>
    <w:rsid w:val="006657A7"/>
    <w:rsid w:val="00665B61"/>
    <w:rsid w:val="00665CE4"/>
    <w:rsid w:val="00665E47"/>
    <w:rsid w:val="00666D88"/>
    <w:rsid w:val="00667787"/>
    <w:rsid w:val="00671C59"/>
    <w:rsid w:val="00671DD3"/>
    <w:rsid w:val="006730CF"/>
    <w:rsid w:val="00673528"/>
    <w:rsid w:val="006739A2"/>
    <w:rsid w:val="00673BAC"/>
    <w:rsid w:val="0067480F"/>
    <w:rsid w:val="00674E63"/>
    <w:rsid w:val="00675D41"/>
    <w:rsid w:val="00677145"/>
    <w:rsid w:val="00677AC4"/>
    <w:rsid w:val="00677B21"/>
    <w:rsid w:val="00677C0C"/>
    <w:rsid w:val="006814BC"/>
    <w:rsid w:val="006827F0"/>
    <w:rsid w:val="00682A29"/>
    <w:rsid w:val="0068346B"/>
    <w:rsid w:val="006840A2"/>
    <w:rsid w:val="006852BC"/>
    <w:rsid w:val="00685309"/>
    <w:rsid w:val="006854DA"/>
    <w:rsid w:val="00686078"/>
    <w:rsid w:val="006870FB"/>
    <w:rsid w:val="00687A1F"/>
    <w:rsid w:val="00687FC2"/>
    <w:rsid w:val="00690619"/>
    <w:rsid w:val="00691290"/>
    <w:rsid w:val="00691E4B"/>
    <w:rsid w:val="00692217"/>
    <w:rsid w:val="00692287"/>
    <w:rsid w:val="0069346C"/>
    <w:rsid w:val="00693584"/>
    <w:rsid w:val="00695213"/>
    <w:rsid w:val="00696A4E"/>
    <w:rsid w:val="006A03C8"/>
    <w:rsid w:val="006A1659"/>
    <w:rsid w:val="006A2621"/>
    <w:rsid w:val="006A44D2"/>
    <w:rsid w:val="006A49F5"/>
    <w:rsid w:val="006A4D35"/>
    <w:rsid w:val="006A5493"/>
    <w:rsid w:val="006A5D60"/>
    <w:rsid w:val="006A6C89"/>
    <w:rsid w:val="006A739D"/>
    <w:rsid w:val="006A75C2"/>
    <w:rsid w:val="006A7B6D"/>
    <w:rsid w:val="006B0198"/>
    <w:rsid w:val="006B0CF9"/>
    <w:rsid w:val="006B0D64"/>
    <w:rsid w:val="006B0E64"/>
    <w:rsid w:val="006B1324"/>
    <w:rsid w:val="006B1512"/>
    <w:rsid w:val="006B2B29"/>
    <w:rsid w:val="006B3512"/>
    <w:rsid w:val="006B3A71"/>
    <w:rsid w:val="006B3B69"/>
    <w:rsid w:val="006B3C87"/>
    <w:rsid w:val="006B4976"/>
    <w:rsid w:val="006B6C40"/>
    <w:rsid w:val="006B7457"/>
    <w:rsid w:val="006B77CE"/>
    <w:rsid w:val="006C0387"/>
    <w:rsid w:val="006C1002"/>
    <w:rsid w:val="006C107A"/>
    <w:rsid w:val="006C12E7"/>
    <w:rsid w:val="006C1F54"/>
    <w:rsid w:val="006C2464"/>
    <w:rsid w:val="006C3B30"/>
    <w:rsid w:val="006C489A"/>
    <w:rsid w:val="006C65E3"/>
    <w:rsid w:val="006C6A40"/>
    <w:rsid w:val="006D0012"/>
    <w:rsid w:val="006D0113"/>
    <w:rsid w:val="006D0709"/>
    <w:rsid w:val="006D09C4"/>
    <w:rsid w:val="006D1822"/>
    <w:rsid w:val="006D2036"/>
    <w:rsid w:val="006D2432"/>
    <w:rsid w:val="006D2E34"/>
    <w:rsid w:val="006D34C9"/>
    <w:rsid w:val="006D39C5"/>
    <w:rsid w:val="006D3EA4"/>
    <w:rsid w:val="006D49D5"/>
    <w:rsid w:val="006D5889"/>
    <w:rsid w:val="006D5E21"/>
    <w:rsid w:val="006D686B"/>
    <w:rsid w:val="006D6905"/>
    <w:rsid w:val="006D6B18"/>
    <w:rsid w:val="006D767C"/>
    <w:rsid w:val="006D77B9"/>
    <w:rsid w:val="006D78B9"/>
    <w:rsid w:val="006E0439"/>
    <w:rsid w:val="006E0B32"/>
    <w:rsid w:val="006E0BFC"/>
    <w:rsid w:val="006E16ED"/>
    <w:rsid w:val="006E177E"/>
    <w:rsid w:val="006E196B"/>
    <w:rsid w:val="006E218B"/>
    <w:rsid w:val="006E2E5D"/>
    <w:rsid w:val="006E2FE4"/>
    <w:rsid w:val="006E3C1A"/>
    <w:rsid w:val="006E3EC6"/>
    <w:rsid w:val="006E40C3"/>
    <w:rsid w:val="006E47BD"/>
    <w:rsid w:val="006E4A4E"/>
    <w:rsid w:val="006E4D49"/>
    <w:rsid w:val="006E58D1"/>
    <w:rsid w:val="006E6083"/>
    <w:rsid w:val="006E683C"/>
    <w:rsid w:val="006E7A3C"/>
    <w:rsid w:val="006F0BBC"/>
    <w:rsid w:val="006F0E44"/>
    <w:rsid w:val="006F105D"/>
    <w:rsid w:val="006F12EE"/>
    <w:rsid w:val="006F16E8"/>
    <w:rsid w:val="006F2D04"/>
    <w:rsid w:val="006F2FFA"/>
    <w:rsid w:val="006F30C3"/>
    <w:rsid w:val="006F35F2"/>
    <w:rsid w:val="006F4416"/>
    <w:rsid w:val="006F4589"/>
    <w:rsid w:val="006F4B85"/>
    <w:rsid w:val="006F4DC0"/>
    <w:rsid w:val="006F4F5B"/>
    <w:rsid w:val="006F6151"/>
    <w:rsid w:val="006F6F43"/>
    <w:rsid w:val="006F7F13"/>
    <w:rsid w:val="007007A9"/>
    <w:rsid w:val="00700B01"/>
    <w:rsid w:val="00701476"/>
    <w:rsid w:val="007030C5"/>
    <w:rsid w:val="0070376D"/>
    <w:rsid w:val="007037DC"/>
    <w:rsid w:val="00703F0C"/>
    <w:rsid w:val="007045F2"/>
    <w:rsid w:val="007058FA"/>
    <w:rsid w:val="007059CD"/>
    <w:rsid w:val="00706140"/>
    <w:rsid w:val="007063E7"/>
    <w:rsid w:val="00706DBC"/>
    <w:rsid w:val="007103A6"/>
    <w:rsid w:val="007105F8"/>
    <w:rsid w:val="0071137B"/>
    <w:rsid w:val="007119F2"/>
    <w:rsid w:val="00711AAD"/>
    <w:rsid w:val="0071217C"/>
    <w:rsid w:val="0071289D"/>
    <w:rsid w:val="00713C66"/>
    <w:rsid w:val="00713CEB"/>
    <w:rsid w:val="00714693"/>
    <w:rsid w:val="007157DE"/>
    <w:rsid w:val="0071593E"/>
    <w:rsid w:val="00716623"/>
    <w:rsid w:val="0071668B"/>
    <w:rsid w:val="00717375"/>
    <w:rsid w:val="007177B5"/>
    <w:rsid w:val="00717D37"/>
    <w:rsid w:val="007202E3"/>
    <w:rsid w:val="007206CC"/>
    <w:rsid w:val="0072179F"/>
    <w:rsid w:val="007231B3"/>
    <w:rsid w:val="007239C1"/>
    <w:rsid w:val="0072445A"/>
    <w:rsid w:val="00724E61"/>
    <w:rsid w:val="007256F7"/>
    <w:rsid w:val="0072576B"/>
    <w:rsid w:val="00726AAD"/>
    <w:rsid w:val="0072704C"/>
    <w:rsid w:val="0072750F"/>
    <w:rsid w:val="00730DD7"/>
    <w:rsid w:val="00731948"/>
    <w:rsid w:val="007319EB"/>
    <w:rsid w:val="007325DF"/>
    <w:rsid w:val="00733255"/>
    <w:rsid w:val="00734510"/>
    <w:rsid w:val="0073521A"/>
    <w:rsid w:val="00736B67"/>
    <w:rsid w:val="00736EE9"/>
    <w:rsid w:val="00737490"/>
    <w:rsid w:val="00737783"/>
    <w:rsid w:val="00737E20"/>
    <w:rsid w:val="00742665"/>
    <w:rsid w:val="007427B7"/>
    <w:rsid w:val="0074298A"/>
    <w:rsid w:val="007429D5"/>
    <w:rsid w:val="00745038"/>
    <w:rsid w:val="007451CB"/>
    <w:rsid w:val="007457B7"/>
    <w:rsid w:val="007469E4"/>
    <w:rsid w:val="007512AF"/>
    <w:rsid w:val="00751822"/>
    <w:rsid w:val="00751982"/>
    <w:rsid w:val="00751E89"/>
    <w:rsid w:val="00751F90"/>
    <w:rsid w:val="00752710"/>
    <w:rsid w:val="00753470"/>
    <w:rsid w:val="00754170"/>
    <w:rsid w:val="00755AC2"/>
    <w:rsid w:val="00755C4F"/>
    <w:rsid w:val="00757EFA"/>
    <w:rsid w:val="00760926"/>
    <w:rsid w:val="00760B07"/>
    <w:rsid w:val="007619D5"/>
    <w:rsid w:val="00761ABB"/>
    <w:rsid w:val="007626D3"/>
    <w:rsid w:val="00762859"/>
    <w:rsid w:val="0076289C"/>
    <w:rsid w:val="00762AA7"/>
    <w:rsid w:val="0076316C"/>
    <w:rsid w:val="00763194"/>
    <w:rsid w:val="007639BE"/>
    <w:rsid w:val="00764DF5"/>
    <w:rsid w:val="007655A1"/>
    <w:rsid w:val="00765808"/>
    <w:rsid w:val="0076587D"/>
    <w:rsid w:val="0076598B"/>
    <w:rsid w:val="00765EC4"/>
    <w:rsid w:val="0076659F"/>
    <w:rsid w:val="007668C1"/>
    <w:rsid w:val="00767441"/>
    <w:rsid w:val="00767DD4"/>
    <w:rsid w:val="007705C1"/>
    <w:rsid w:val="00770C0A"/>
    <w:rsid w:val="007710A3"/>
    <w:rsid w:val="00771CDC"/>
    <w:rsid w:val="00772915"/>
    <w:rsid w:val="00774510"/>
    <w:rsid w:val="00774C31"/>
    <w:rsid w:val="0077645D"/>
    <w:rsid w:val="007778EF"/>
    <w:rsid w:val="00777EEA"/>
    <w:rsid w:val="00780635"/>
    <w:rsid w:val="007811CA"/>
    <w:rsid w:val="00782549"/>
    <w:rsid w:val="00782BF1"/>
    <w:rsid w:val="00783321"/>
    <w:rsid w:val="00784921"/>
    <w:rsid w:val="007849BA"/>
    <w:rsid w:val="007857C6"/>
    <w:rsid w:val="00785B96"/>
    <w:rsid w:val="00787FD9"/>
    <w:rsid w:val="00790324"/>
    <w:rsid w:val="0079103B"/>
    <w:rsid w:val="00791B5E"/>
    <w:rsid w:val="007920FF"/>
    <w:rsid w:val="00792561"/>
    <w:rsid w:val="00792959"/>
    <w:rsid w:val="00792A8A"/>
    <w:rsid w:val="00793071"/>
    <w:rsid w:val="0079314C"/>
    <w:rsid w:val="00793824"/>
    <w:rsid w:val="00793D75"/>
    <w:rsid w:val="0079482A"/>
    <w:rsid w:val="00794D7C"/>
    <w:rsid w:val="00794EBC"/>
    <w:rsid w:val="00794F34"/>
    <w:rsid w:val="00795673"/>
    <w:rsid w:val="007959FF"/>
    <w:rsid w:val="007960FD"/>
    <w:rsid w:val="00797286"/>
    <w:rsid w:val="00797E18"/>
    <w:rsid w:val="007A0036"/>
    <w:rsid w:val="007A0A61"/>
    <w:rsid w:val="007A0C8D"/>
    <w:rsid w:val="007A15FC"/>
    <w:rsid w:val="007A2B8F"/>
    <w:rsid w:val="007A31F0"/>
    <w:rsid w:val="007A3739"/>
    <w:rsid w:val="007A3D4E"/>
    <w:rsid w:val="007A47FD"/>
    <w:rsid w:val="007A48F3"/>
    <w:rsid w:val="007A5380"/>
    <w:rsid w:val="007B0203"/>
    <w:rsid w:val="007B0287"/>
    <w:rsid w:val="007B0C25"/>
    <w:rsid w:val="007B0CB0"/>
    <w:rsid w:val="007B1F14"/>
    <w:rsid w:val="007B20A3"/>
    <w:rsid w:val="007B2182"/>
    <w:rsid w:val="007B23CE"/>
    <w:rsid w:val="007B2565"/>
    <w:rsid w:val="007B3004"/>
    <w:rsid w:val="007B3B6F"/>
    <w:rsid w:val="007B45A0"/>
    <w:rsid w:val="007B45DB"/>
    <w:rsid w:val="007B5A95"/>
    <w:rsid w:val="007B6084"/>
    <w:rsid w:val="007B6093"/>
    <w:rsid w:val="007B65B9"/>
    <w:rsid w:val="007B6F8C"/>
    <w:rsid w:val="007B7831"/>
    <w:rsid w:val="007B7A20"/>
    <w:rsid w:val="007C24C7"/>
    <w:rsid w:val="007C30FF"/>
    <w:rsid w:val="007C4DE8"/>
    <w:rsid w:val="007C4F18"/>
    <w:rsid w:val="007C64E3"/>
    <w:rsid w:val="007C65C4"/>
    <w:rsid w:val="007C692E"/>
    <w:rsid w:val="007C6BD3"/>
    <w:rsid w:val="007C6D1B"/>
    <w:rsid w:val="007C6E3E"/>
    <w:rsid w:val="007C7336"/>
    <w:rsid w:val="007C77D9"/>
    <w:rsid w:val="007D0E37"/>
    <w:rsid w:val="007D1259"/>
    <w:rsid w:val="007D2545"/>
    <w:rsid w:val="007D2EBF"/>
    <w:rsid w:val="007D4683"/>
    <w:rsid w:val="007D62D6"/>
    <w:rsid w:val="007D6748"/>
    <w:rsid w:val="007D7917"/>
    <w:rsid w:val="007D79F1"/>
    <w:rsid w:val="007D7AAA"/>
    <w:rsid w:val="007E068C"/>
    <w:rsid w:val="007E07E1"/>
    <w:rsid w:val="007E08AD"/>
    <w:rsid w:val="007E2E48"/>
    <w:rsid w:val="007E33C9"/>
    <w:rsid w:val="007E3E72"/>
    <w:rsid w:val="007E4096"/>
    <w:rsid w:val="007E432C"/>
    <w:rsid w:val="007E4C56"/>
    <w:rsid w:val="007E5918"/>
    <w:rsid w:val="007E5D3D"/>
    <w:rsid w:val="007F0D58"/>
    <w:rsid w:val="007F158B"/>
    <w:rsid w:val="007F1DAC"/>
    <w:rsid w:val="007F1FC1"/>
    <w:rsid w:val="007F23AF"/>
    <w:rsid w:val="007F2967"/>
    <w:rsid w:val="007F3693"/>
    <w:rsid w:val="007F3ED9"/>
    <w:rsid w:val="007F4886"/>
    <w:rsid w:val="007F4D73"/>
    <w:rsid w:val="007F502C"/>
    <w:rsid w:val="007F6C20"/>
    <w:rsid w:val="007F7327"/>
    <w:rsid w:val="007F744B"/>
    <w:rsid w:val="007F7786"/>
    <w:rsid w:val="007F7870"/>
    <w:rsid w:val="007F7CDF"/>
    <w:rsid w:val="00800493"/>
    <w:rsid w:val="00801034"/>
    <w:rsid w:val="00801ABD"/>
    <w:rsid w:val="00801BC1"/>
    <w:rsid w:val="00801C1D"/>
    <w:rsid w:val="00801DA1"/>
    <w:rsid w:val="00803610"/>
    <w:rsid w:val="00803EF9"/>
    <w:rsid w:val="008041FD"/>
    <w:rsid w:val="0080449B"/>
    <w:rsid w:val="00804C6D"/>
    <w:rsid w:val="008053CE"/>
    <w:rsid w:val="0080628F"/>
    <w:rsid w:val="00806AC6"/>
    <w:rsid w:val="0080757F"/>
    <w:rsid w:val="00810364"/>
    <w:rsid w:val="008109F7"/>
    <w:rsid w:val="00811838"/>
    <w:rsid w:val="00811A21"/>
    <w:rsid w:val="00812027"/>
    <w:rsid w:val="00812A51"/>
    <w:rsid w:val="00813096"/>
    <w:rsid w:val="008132AB"/>
    <w:rsid w:val="00814092"/>
    <w:rsid w:val="00816BF1"/>
    <w:rsid w:val="00816CB9"/>
    <w:rsid w:val="0081747E"/>
    <w:rsid w:val="00817531"/>
    <w:rsid w:val="008201A1"/>
    <w:rsid w:val="008204DE"/>
    <w:rsid w:val="00820DB9"/>
    <w:rsid w:val="0082160E"/>
    <w:rsid w:val="00822DE8"/>
    <w:rsid w:val="0082322C"/>
    <w:rsid w:val="00823A7F"/>
    <w:rsid w:val="00823C35"/>
    <w:rsid w:val="0082468D"/>
    <w:rsid w:val="00824746"/>
    <w:rsid w:val="0082525F"/>
    <w:rsid w:val="00826006"/>
    <w:rsid w:val="008274F9"/>
    <w:rsid w:val="00827787"/>
    <w:rsid w:val="008278C1"/>
    <w:rsid w:val="00831F73"/>
    <w:rsid w:val="008333AE"/>
    <w:rsid w:val="008335F7"/>
    <w:rsid w:val="00833980"/>
    <w:rsid w:val="008346AD"/>
    <w:rsid w:val="00835FC6"/>
    <w:rsid w:val="00836025"/>
    <w:rsid w:val="00836869"/>
    <w:rsid w:val="00836B5E"/>
    <w:rsid w:val="00837972"/>
    <w:rsid w:val="008402D0"/>
    <w:rsid w:val="00840560"/>
    <w:rsid w:val="008415AC"/>
    <w:rsid w:val="00842D96"/>
    <w:rsid w:val="008436B5"/>
    <w:rsid w:val="00844005"/>
    <w:rsid w:val="0084462A"/>
    <w:rsid w:val="00844E6D"/>
    <w:rsid w:val="00845015"/>
    <w:rsid w:val="008458C4"/>
    <w:rsid w:val="00845FCB"/>
    <w:rsid w:val="00846FDD"/>
    <w:rsid w:val="0084776F"/>
    <w:rsid w:val="00847A16"/>
    <w:rsid w:val="0085082F"/>
    <w:rsid w:val="00850D32"/>
    <w:rsid w:val="0085164C"/>
    <w:rsid w:val="00851B26"/>
    <w:rsid w:val="00852913"/>
    <w:rsid w:val="0085337F"/>
    <w:rsid w:val="0085372B"/>
    <w:rsid w:val="0085483A"/>
    <w:rsid w:val="00854905"/>
    <w:rsid w:val="008551BC"/>
    <w:rsid w:val="00855599"/>
    <w:rsid w:val="008555D8"/>
    <w:rsid w:val="00855933"/>
    <w:rsid w:val="00855A83"/>
    <w:rsid w:val="008567D4"/>
    <w:rsid w:val="00856C4D"/>
    <w:rsid w:val="008601CF"/>
    <w:rsid w:val="008605DE"/>
    <w:rsid w:val="00861476"/>
    <w:rsid w:val="00861752"/>
    <w:rsid w:val="00862856"/>
    <w:rsid w:val="00862E95"/>
    <w:rsid w:val="00863311"/>
    <w:rsid w:val="0086341B"/>
    <w:rsid w:val="00863A81"/>
    <w:rsid w:val="00863EF8"/>
    <w:rsid w:val="00863F62"/>
    <w:rsid w:val="0086516A"/>
    <w:rsid w:val="00865D8F"/>
    <w:rsid w:val="008661E9"/>
    <w:rsid w:val="0086678E"/>
    <w:rsid w:val="008679A5"/>
    <w:rsid w:val="008709C6"/>
    <w:rsid w:val="00872297"/>
    <w:rsid w:val="008724C8"/>
    <w:rsid w:val="008724EC"/>
    <w:rsid w:val="00872838"/>
    <w:rsid w:val="00872EF1"/>
    <w:rsid w:val="00873807"/>
    <w:rsid w:val="00874087"/>
    <w:rsid w:val="00874DDD"/>
    <w:rsid w:val="00874F0F"/>
    <w:rsid w:val="008759A2"/>
    <w:rsid w:val="00876BC5"/>
    <w:rsid w:val="00877975"/>
    <w:rsid w:val="00880298"/>
    <w:rsid w:val="00880848"/>
    <w:rsid w:val="00880BA2"/>
    <w:rsid w:val="00881C91"/>
    <w:rsid w:val="00882286"/>
    <w:rsid w:val="00882872"/>
    <w:rsid w:val="00883300"/>
    <w:rsid w:val="00883D2D"/>
    <w:rsid w:val="00884D57"/>
    <w:rsid w:val="00884F47"/>
    <w:rsid w:val="008860CE"/>
    <w:rsid w:val="00887A43"/>
    <w:rsid w:val="00890051"/>
    <w:rsid w:val="0089119C"/>
    <w:rsid w:val="008911B1"/>
    <w:rsid w:val="00892470"/>
    <w:rsid w:val="00892E01"/>
    <w:rsid w:val="0089492C"/>
    <w:rsid w:val="00895DA2"/>
    <w:rsid w:val="00896F12"/>
    <w:rsid w:val="00897EE4"/>
    <w:rsid w:val="008A2468"/>
    <w:rsid w:val="008A2ED0"/>
    <w:rsid w:val="008A41E7"/>
    <w:rsid w:val="008A4323"/>
    <w:rsid w:val="008A4E36"/>
    <w:rsid w:val="008A4FE5"/>
    <w:rsid w:val="008A5218"/>
    <w:rsid w:val="008A6357"/>
    <w:rsid w:val="008A72AF"/>
    <w:rsid w:val="008A7332"/>
    <w:rsid w:val="008A76C5"/>
    <w:rsid w:val="008A796E"/>
    <w:rsid w:val="008A79B7"/>
    <w:rsid w:val="008A7B68"/>
    <w:rsid w:val="008B046F"/>
    <w:rsid w:val="008B112F"/>
    <w:rsid w:val="008B1319"/>
    <w:rsid w:val="008B1E9C"/>
    <w:rsid w:val="008B3F2A"/>
    <w:rsid w:val="008B422B"/>
    <w:rsid w:val="008B4456"/>
    <w:rsid w:val="008B5E77"/>
    <w:rsid w:val="008B60FE"/>
    <w:rsid w:val="008B6424"/>
    <w:rsid w:val="008B64B1"/>
    <w:rsid w:val="008B6FE3"/>
    <w:rsid w:val="008B7968"/>
    <w:rsid w:val="008C0B9F"/>
    <w:rsid w:val="008C1986"/>
    <w:rsid w:val="008C19C3"/>
    <w:rsid w:val="008C36D0"/>
    <w:rsid w:val="008C3774"/>
    <w:rsid w:val="008C4797"/>
    <w:rsid w:val="008C6133"/>
    <w:rsid w:val="008C696C"/>
    <w:rsid w:val="008C6A7E"/>
    <w:rsid w:val="008C6E14"/>
    <w:rsid w:val="008C715D"/>
    <w:rsid w:val="008C7169"/>
    <w:rsid w:val="008C728B"/>
    <w:rsid w:val="008D1630"/>
    <w:rsid w:val="008D204B"/>
    <w:rsid w:val="008D27CB"/>
    <w:rsid w:val="008D5FEB"/>
    <w:rsid w:val="008D6F48"/>
    <w:rsid w:val="008D74BB"/>
    <w:rsid w:val="008D7EDB"/>
    <w:rsid w:val="008E20E7"/>
    <w:rsid w:val="008E29AC"/>
    <w:rsid w:val="008E381D"/>
    <w:rsid w:val="008E3B8A"/>
    <w:rsid w:val="008E3CCA"/>
    <w:rsid w:val="008E4838"/>
    <w:rsid w:val="008E4F88"/>
    <w:rsid w:val="008E59D4"/>
    <w:rsid w:val="008E65D3"/>
    <w:rsid w:val="008E664F"/>
    <w:rsid w:val="008E6E27"/>
    <w:rsid w:val="008E7D9D"/>
    <w:rsid w:val="008F0551"/>
    <w:rsid w:val="008F061F"/>
    <w:rsid w:val="008F1BA3"/>
    <w:rsid w:val="008F2A05"/>
    <w:rsid w:val="008F4CF4"/>
    <w:rsid w:val="008F536E"/>
    <w:rsid w:val="008F6765"/>
    <w:rsid w:val="008F74D6"/>
    <w:rsid w:val="009016EA"/>
    <w:rsid w:val="009020AA"/>
    <w:rsid w:val="00902818"/>
    <w:rsid w:val="009030B5"/>
    <w:rsid w:val="009032D8"/>
    <w:rsid w:val="00903616"/>
    <w:rsid w:val="00903BCB"/>
    <w:rsid w:val="00904A36"/>
    <w:rsid w:val="00904FC2"/>
    <w:rsid w:val="00905094"/>
    <w:rsid w:val="00905854"/>
    <w:rsid w:val="009063FE"/>
    <w:rsid w:val="009102B7"/>
    <w:rsid w:val="00911238"/>
    <w:rsid w:val="00912861"/>
    <w:rsid w:val="00912DCB"/>
    <w:rsid w:val="00913603"/>
    <w:rsid w:val="00913AD4"/>
    <w:rsid w:val="00913BB0"/>
    <w:rsid w:val="009155E9"/>
    <w:rsid w:val="00915868"/>
    <w:rsid w:val="00916B9D"/>
    <w:rsid w:val="00916CE7"/>
    <w:rsid w:val="00916DA4"/>
    <w:rsid w:val="00916E22"/>
    <w:rsid w:val="00917AC5"/>
    <w:rsid w:val="009209BE"/>
    <w:rsid w:val="00920FA3"/>
    <w:rsid w:val="0092108B"/>
    <w:rsid w:val="0092119C"/>
    <w:rsid w:val="00922129"/>
    <w:rsid w:val="00922C77"/>
    <w:rsid w:val="00922FA1"/>
    <w:rsid w:val="00923868"/>
    <w:rsid w:val="00923A2F"/>
    <w:rsid w:val="00923B7E"/>
    <w:rsid w:val="00923BF0"/>
    <w:rsid w:val="0092472D"/>
    <w:rsid w:val="00924A2E"/>
    <w:rsid w:val="00924EFF"/>
    <w:rsid w:val="0092589C"/>
    <w:rsid w:val="00926127"/>
    <w:rsid w:val="009262EB"/>
    <w:rsid w:val="00926713"/>
    <w:rsid w:val="00926869"/>
    <w:rsid w:val="00926DA6"/>
    <w:rsid w:val="009277E7"/>
    <w:rsid w:val="009305C7"/>
    <w:rsid w:val="00930AE0"/>
    <w:rsid w:val="00930C04"/>
    <w:rsid w:val="00931B59"/>
    <w:rsid w:val="00932D6D"/>
    <w:rsid w:val="00933BC7"/>
    <w:rsid w:val="00934902"/>
    <w:rsid w:val="00934A97"/>
    <w:rsid w:val="00935510"/>
    <w:rsid w:val="009362F2"/>
    <w:rsid w:val="00936C63"/>
    <w:rsid w:val="00936D3F"/>
    <w:rsid w:val="0093757F"/>
    <w:rsid w:val="00937CC2"/>
    <w:rsid w:val="00940057"/>
    <w:rsid w:val="00940B7D"/>
    <w:rsid w:val="009410DD"/>
    <w:rsid w:val="009415E1"/>
    <w:rsid w:val="00941718"/>
    <w:rsid w:val="0094200A"/>
    <w:rsid w:val="00942128"/>
    <w:rsid w:val="009433C7"/>
    <w:rsid w:val="009442D0"/>
    <w:rsid w:val="00944839"/>
    <w:rsid w:val="00944A7E"/>
    <w:rsid w:val="00945427"/>
    <w:rsid w:val="009468BC"/>
    <w:rsid w:val="0094762A"/>
    <w:rsid w:val="00947D12"/>
    <w:rsid w:val="009508A6"/>
    <w:rsid w:val="00950A41"/>
    <w:rsid w:val="00950A4D"/>
    <w:rsid w:val="009511A5"/>
    <w:rsid w:val="0095170B"/>
    <w:rsid w:val="00951764"/>
    <w:rsid w:val="00951E03"/>
    <w:rsid w:val="00952C3B"/>
    <w:rsid w:val="00953406"/>
    <w:rsid w:val="0095414C"/>
    <w:rsid w:val="009543E4"/>
    <w:rsid w:val="00955760"/>
    <w:rsid w:val="0095580D"/>
    <w:rsid w:val="00956CB9"/>
    <w:rsid w:val="00956D6C"/>
    <w:rsid w:val="00960D71"/>
    <w:rsid w:val="009621D4"/>
    <w:rsid w:val="0096329F"/>
    <w:rsid w:val="00963491"/>
    <w:rsid w:val="00963ADF"/>
    <w:rsid w:val="009643A9"/>
    <w:rsid w:val="00964909"/>
    <w:rsid w:val="00966231"/>
    <w:rsid w:val="00970212"/>
    <w:rsid w:val="009707C0"/>
    <w:rsid w:val="009720EE"/>
    <w:rsid w:val="00972221"/>
    <w:rsid w:val="00972E0E"/>
    <w:rsid w:val="00973972"/>
    <w:rsid w:val="00974237"/>
    <w:rsid w:val="00974712"/>
    <w:rsid w:val="00975975"/>
    <w:rsid w:val="009763E0"/>
    <w:rsid w:val="00976E02"/>
    <w:rsid w:val="00976E82"/>
    <w:rsid w:val="009771C0"/>
    <w:rsid w:val="00977378"/>
    <w:rsid w:val="009775E6"/>
    <w:rsid w:val="00977FFB"/>
    <w:rsid w:val="00980321"/>
    <w:rsid w:val="00981E1B"/>
    <w:rsid w:val="00982305"/>
    <w:rsid w:val="009825CF"/>
    <w:rsid w:val="00982765"/>
    <w:rsid w:val="00982E05"/>
    <w:rsid w:val="00983C73"/>
    <w:rsid w:val="00983DB5"/>
    <w:rsid w:val="009842D1"/>
    <w:rsid w:val="009846C5"/>
    <w:rsid w:val="00984A58"/>
    <w:rsid w:val="009862B9"/>
    <w:rsid w:val="009866F7"/>
    <w:rsid w:val="00986D98"/>
    <w:rsid w:val="00987073"/>
    <w:rsid w:val="00990F9F"/>
    <w:rsid w:val="00992838"/>
    <w:rsid w:val="00993AB8"/>
    <w:rsid w:val="00993EB2"/>
    <w:rsid w:val="009944A4"/>
    <w:rsid w:val="00994618"/>
    <w:rsid w:val="00995148"/>
    <w:rsid w:val="00995B99"/>
    <w:rsid w:val="00997037"/>
    <w:rsid w:val="00997EDF"/>
    <w:rsid w:val="009A1193"/>
    <w:rsid w:val="009A2157"/>
    <w:rsid w:val="009A5065"/>
    <w:rsid w:val="009A513A"/>
    <w:rsid w:val="009A529B"/>
    <w:rsid w:val="009A5DAD"/>
    <w:rsid w:val="009A6B0C"/>
    <w:rsid w:val="009A711F"/>
    <w:rsid w:val="009A77A5"/>
    <w:rsid w:val="009A7DF8"/>
    <w:rsid w:val="009B0BE2"/>
    <w:rsid w:val="009B1924"/>
    <w:rsid w:val="009B2571"/>
    <w:rsid w:val="009B29EE"/>
    <w:rsid w:val="009B43B5"/>
    <w:rsid w:val="009B573A"/>
    <w:rsid w:val="009B72C9"/>
    <w:rsid w:val="009B774E"/>
    <w:rsid w:val="009B7DB1"/>
    <w:rsid w:val="009C0FD0"/>
    <w:rsid w:val="009C1B96"/>
    <w:rsid w:val="009C31F7"/>
    <w:rsid w:val="009C36A3"/>
    <w:rsid w:val="009C49ED"/>
    <w:rsid w:val="009C6249"/>
    <w:rsid w:val="009C7694"/>
    <w:rsid w:val="009C7849"/>
    <w:rsid w:val="009D0452"/>
    <w:rsid w:val="009D050A"/>
    <w:rsid w:val="009D05E5"/>
    <w:rsid w:val="009D1ED2"/>
    <w:rsid w:val="009D208D"/>
    <w:rsid w:val="009D2277"/>
    <w:rsid w:val="009D25DA"/>
    <w:rsid w:val="009D273F"/>
    <w:rsid w:val="009D33DC"/>
    <w:rsid w:val="009D3848"/>
    <w:rsid w:val="009D3901"/>
    <w:rsid w:val="009D3B32"/>
    <w:rsid w:val="009D5E78"/>
    <w:rsid w:val="009D622A"/>
    <w:rsid w:val="009D6EC4"/>
    <w:rsid w:val="009D7AFB"/>
    <w:rsid w:val="009D7BAC"/>
    <w:rsid w:val="009E09A8"/>
    <w:rsid w:val="009E0C3B"/>
    <w:rsid w:val="009E0CC8"/>
    <w:rsid w:val="009E1902"/>
    <w:rsid w:val="009E1D42"/>
    <w:rsid w:val="009E21FA"/>
    <w:rsid w:val="009E3419"/>
    <w:rsid w:val="009E4539"/>
    <w:rsid w:val="009E69BC"/>
    <w:rsid w:val="009E7519"/>
    <w:rsid w:val="009E7795"/>
    <w:rsid w:val="009E7BA9"/>
    <w:rsid w:val="009F01B6"/>
    <w:rsid w:val="009F177C"/>
    <w:rsid w:val="009F17B0"/>
    <w:rsid w:val="009F190F"/>
    <w:rsid w:val="009F1B47"/>
    <w:rsid w:val="009F231A"/>
    <w:rsid w:val="009F272F"/>
    <w:rsid w:val="009F2AD3"/>
    <w:rsid w:val="009F3887"/>
    <w:rsid w:val="009F3EA0"/>
    <w:rsid w:val="009F4385"/>
    <w:rsid w:val="009F58B2"/>
    <w:rsid w:val="009F5CD9"/>
    <w:rsid w:val="009F6697"/>
    <w:rsid w:val="009F6EF5"/>
    <w:rsid w:val="009F79AB"/>
    <w:rsid w:val="009F7DBE"/>
    <w:rsid w:val="00A00385"/>
    <w:rsid w:val="00A00813"/>
    <w:rsid w:val="00A00B9C"/>
    <w:rsid w:val="00A00D54"/>
    <w:rsid w:val="00A01241"/>
    <w:rsid w:val="00A01AF6"/>
    <w:rsid w:val="00A02ADA"/>
    <w:rsid w:val="00A0302F"/>
    <w:rsid w:val="00A035D6"/>
    <w:rsid w:val="00A037BC"/>
    <w:rsid w:val="00A03C3A"/>
    <w:rsid w:val="00A060AE"/>
    <w:rsid w:val="00A0691E"/>
    <w:rsid w:val="00A06DB1"/>
    <w:rsid w:val="00A07A82"/>
    <w:rsid w:val="00A07DC3"/>
    <w:rsid w:val="00A07F34"/>
    <w:rsid w:val="00A10437"/>
    <w:rsid w:val="00A112AF"/>
    <w:rsid w:val="00A129E9"/>
    <w:rsid w:val="00A12FA8"/>
    <w:rsid w:val="00A13A19"/>
    <w:rsid w:val="00A14A48"/>
    <w:rsid w:val="00A14BFF"/>
    <w:rsid w:val="00A14D51"/>
    <w:rsid w:val="00A1507A"/>
    <w:rsid w:val="00A152F7"/>
    <w:rsid w:val="00A1586F"/>
    <w:rsid w:val="00A162F0"/>
    <w:rsid w:val="00A16399"/>
    <w:rsid w:val="00A1640A"/>
    <w:rsid w:val="00A1688A"/>
    <w:rsid w:val="00A16CD4"/>
    <w:rsid w:val="00A1789C"/>
    <w:rsid w:val="00A1797C"/>
    <w:rsid w:val="00A17D07"/>
    <w:rsid w:val="00A20091"/>
    <w:rsid w:val="00A2071E"/>
    <w:rsid w:val="00A20A2E"/>
    <w:rsid w:val="00A2112B"/>
    <w:rsid w:val="00A2166D"/>
    <w:rsid w:val="00A21BB9"/>
    <w:rsid w:val="00A22E4D"/>
    <w:rsid w:val="00A23756"/>
    <w:rsid w:val="00A237E6"/>
    <w:rsid w:val="00A24FA6"/>
    <w:rsid w:val="00A24FD8"/>
    <w:rsid w:val="00A25556"/>
    <w:rsid w:val="00A2570A"/>
    <w:rsid w:val="00A259BA"/>
    <w:rsid w:val="00A263B5"/>
    <w:rsid w:val="00A26C8B"/>
    <w:rsid w:val="00A27212"/>
    <w:rsid w:val="00A3040B"/>
    <w:rsid w:val="00A308CC"/>
    <w:rsid w:val="00A30F95"/>
    <w:rsid w:val="00A31020"/>
    <w:rsid w:val="00A313EB"/>
    <w:rsid w:val="00A327C1"/>
    <w:rsid w:val="00A329FC"/>
    <w:rsid w:val="00A3373B"/>
    <w:rsid w:val="00A33802"/>
    <w:rsid w:val="00A33918"/>
    <w:rsid w:val="00A35E8E"/>
    <w:rsid w:val="00A35F63"/>
    <w:rsid w:val="00A3636F"/>
    <w:rsid w:val="00A3695C"/>
    <w:rsid w:val="00A36AC9"/>
    <w:rsid w:val="00A40417"/>
    <w:rsid w:val="00A4140F"/>
    <w:rsid w:val="00A41BB8"/>
    <w:rsid w:val="00A421AF"/>
    <w:rsid w:val="00A421CB"/>
    <w:rsid w:val="00A42450"/>
    <w:rsid w:val="00A42CC1"/>
    <w:rsid w:val="00A42FD1"/>
    <w:rsid w:val="00A43BDA"/>
    <w:rsid w:val="00A4424F"/>
    <w:rsid w:val="00A45BFE"/>
    <w:rsid w:val="00A46AB4"/>
    <w:rsid w:val="00A46BD8"/>
    <w:rsid w:val="00A50015"/>
    <w:rsid w:val="00A5014C"/>
    <w:rsid w:val="00A501A1"/>
    <w:rsid w:val="00A50685"/>
    <w:rsid w:val="00A5325B"/>
    <w:rsid w:val="00A5346E"/>
    <w:rsid w:val="00A54D70"/>
    <w:rsid w:val="00A55E66"/>
    <w:rsid w:val="00A5681C"/>
    <w:rsid w:val="00A57AE3"/>
    <w:rsid w:val="00A6041D"/>
    <w:rsid w:val="00A6052A"/>
    <w:rsid w:val="00A61360"/>
    <w:rsid w:val="00A617AF"/>
    <w:rsid w:val="00A636DD"/>
    <w:rsid w:val="00A63831"/>
    <w:rsid w:val="00A64164"/>
    <w:rsid w:val="00A6447F"/>
    <w:rsid w:val="00A646EA"/>
    <w:rsid w:val="00A6494B"/>
    <w:rsid w:val="00A64BE0"/>
    <w:rsid w:val="00A6560D"/>
    <w:rsid w:val="00A703FD"/>
    <w:rsid w:val="00A705C0"/>
    <w:rsid w:val="00A718D3"/>
    <w:rsid w:val="00A722B5"/>
    <w:rsid w:val="00A72CF2"/>
    <w:rsid w:val="00A73C3F"/>
    <w:rsid w:val="00A741A9"/>
    <w:rsid w:val="00A741BE"/>
    <w:rsid w:val="00A7489F"/>
    <w:rsid w:val="00A749D2"/>
    <w:rsid w:val="00A75131"/>
    <w:rsid w:val="00A76072"/>
    <w:rsid w:val="00A7671D"/>
    <w:rsid w:val="00A76785"/>
    <w:rsid w:val="00A77026"/>
    <w:rsid w:val="00A772BB"/>
    <w:rsid w:val="00A80188"/>
    <w:rsid w:val="00A80444"/>
    <w:rsid w:val="00A8118F"/>
    <w:rsid w:val="00A82CC0"/>
    <w:rsid w:val="00A842B7"/>
    <w:rsid w:val="00A84CDB"/>
    <w:rsid w:val="00A854FE"/>
    <w:rsid w:val="00A85F8D"/>
    <w:rsid w:val="00A8633D"/>
    <w:rsid w:val="00A87074"/>
    <w:rsid w:val="00A8718F"/>
    <w:rsid w:val="00A90652"/>
    <w:rsid w:val="00A933EE"/>
    <w:rsid w:val="00A935D0"/>
    <w:rsid w:val="00A93701"/>
    <w:rsid w:val="00A93D0A"/>
    <w:rsid w:val="00A9423E"/>
    <w:rsid w:val="00AA17B6"/>
    <w:rsid w:val="00AA1C47"/>
    <w:rsid w:val="00AA2218"/>
    <w:rsid w:val="00AA2F86"/>
    <w:rsid w:val="00AA3047"/>
    <w:rsid w:val="00AA3A40"/>
    <w:rsid w:val="00AA46EA"/>
    <w:rsid w:val="00AA54BD"/>
    <w:rsid w:val="00AA5B69"/>
    <w:rsid w:val="00AA5BE0"/>
    <w:rsid w:val="00AA6FD6"/>
    <w:rsid w:val="00AB088D"/>
    <w:rsid w:val="00AB0AA5"/>
    <w:rsid w:val="00AB0AD6"/>
    <w:rsid w:val="00AB1BBB"/>
    <w:rsid w:val="00AB1D4D"/>
    <w:rsid w:val="00AB3758"/>
    <w:rsid w:val="00AB50C7"/>
    <w:rsid w:val="00AB547F"/>
    <w:rsid w:val="00AC0687"/>
    <w:rsid w:val="00AC0BCD"/>
    <w:rsid w:val="00AC281E"/>
    <w:rsid w:val="00AC3795"/>
    <w:rsid w:val="00AC4566"/>
    <w:rsid w:val="00AC46DA"/>
    <w:rsid w:val="00AC4FF2"/>
    <w:rsid w:val="00AC61B1"/>
    <w:rsid w:val="00AC6791"/>
    <w:rsid w:val="00AC7561"/>
    <w:rsid w:val="00AD0ECF"/>
    <w:rsid w:val="00AD2536"/>
    <w:rsid w:val="00AD2DD9"/>
    <w:rsid w:val="00AD37D8"/>
    <w:rsid w:val="00AD5163"/>
    <w:rsid w:val="00AD5420"/>
    <w:rsid w:val="00AD5432"/>
    <w:rsid w:val="00AD56A0"/>
    <w:rsid w:val="00AD5E7D"/>
    <w:rsid w:val="00AD6047"/>
    <w:rsid w:val="00AD61DE"/>
    <w:rsid w:val="00AD64A4"/>
    <w:rsid w:val="00AD72C8"/>
    <w:rsid w:val="00AE023D"/>
    <w:rsid w:val="00AE0678"/>
    <w:rsid w:val="00AE087C"/>
    <w:rsid w:val="00AE0C12"/>
    <w:rsid w:val="00AE11DC"/>
    <w:rsid w:val="00AE1611"/>
    <w:rsid w:val="00AE25EE"/>
    <w:rsid w:val="00AE3273"/>
    <w:rsid w:val="00AE3AF6"/>
    <w:rsid w:val="00AE45AF"/>
    <w:rsid w:val="00AE46FA"/>
    <w:rsid w:val="00AE5590"/>
    <w:rsid w:val="00AE60D9"/>
    <w:rsid w:val="00AE7507"/>
    <w:rsid w:val="00AF18F1"/>
    <w:rsid w:val="00AF32CB"/>
    <w:rsid w:val="00AF393B"/>
    <w:rsid w:val="00AF40EE"/>
    <w:rsid w:val="00AF442C"/>
    <w:rsid w:val="00AF4C95"/>
    <w:rsid w:val="00AF5686"/>
    <w:rsid w:val="00AF6068"/>
    <w:rsid w:val="00AF7B4C"/>
    <w:rsid w:val="00B0041A"/>
    <w:rsid w:val="00B01241"/>
    <w:rsid w:val="00B01993"/>
    <w:rsid w:val="00B0219E"/>
    <w:rsid w:val="00B02276"/>
    <w:rsid w:val="00B03166"/>
    <w:rsid w:val="00B03852"/>
    <w:rsid w:val="00B03DAE"/>
    <w:rsid w:val="00B0441E"/>
    <w:rsid w:val="00B04E73"/>
    <w:rsid w:val="00B06559"/>
    <w:rsid w:val="00B06CDD"/>
    <w:rsid w:val="00B07D72"/>
    <w:rsid w:val="00B114CE"/>
    <w:rsid w:val="00B11B84"/>
    <w:rsid w:val="00B12397"/>
    <w:rsid w:val="00B12933"/>
    <w:rsid w:val="00B12D3D"/>
    <w:rsid w:val="00B12E66"/>
    <w:rsid w:val="00B135E2"/>
    <w:rsid w:val="00B16532"/>
    <w:rsid w:val="00B16DAE"/>
    <w:rsid w:val="00B17508"/>
    <w:rsid w:val="00B177A6"/>
    <w:rsid w:val="00B2064B"/>
    <w:rsid w:val="00B208E4"/>
    <w:rsid w:val="00B20F48"/>
    <w:rsid w:val="00B21691"/>
    <w:rsid w:val="00B22016"/>
    <w:rsid w:val="00B22429"/>
    <w:rsid w:val="00B2293A"/>
    <w:rsid w:val="00B22A52"/>
    <w:rsid w:val="00B23B15"/>
    <w:rsid w:val="00B2465C"/>
    <w:rsid w:val="00B24F00"/>
    <w:rsid w:val="00B25124"/>
    <w:rsid w:val="00B25BC7"/>
    <w:rsid w:val="00B27E32"/>
    <w:rsid w:val="00B27E40"/>
    <w:rsid w:val="00B27FE1"/>
    <w:rsid w:val="00B3081D"/>
    <w:rsid w:val="00B30D85"/>
    <w:rsid w:val="00B31233"/>
    <w:rsid w:val="00B31F63"/>
    <w:rsid w:val="00B32258"/>
    <w:rsid w:val="00B322E4"/>
    <w:rsid w:val="00B325F6"/>
    <w:rsid w:val="00B331A9"/>
    <w:rsid w:val="00B345CF"/>
    <w:rsid w:val="00B35B57"/>
    <w:rsid w:val="00B36438"/>
    <w:rsid w:val="00B368E1"/>
    <w:rsid w:val="00B36D9D"/>
    <w:rsid w:val="00B37601"/>
    <w:rsid w:val="00B37938"/>
    <w:rsid w:val="00B37A92"/>
    <w:rsid w:val="00B400B6"/>
    <w:rsid w:val="00B40D25"/>
    <w:rsid w:val="00B41FC1"/>
    <w:rsid w:val="00B433EA"/>
    <w:rsid w:val="00B4365C"/>
    <w:rsid w:val="00B4529F"/>
    <w:rsid w:val="00B466EC"/>
    <w:rsid w:val="00B46BB7"/>
    <w:rsid w:val="00B46D1F"/>
    <w:rsid w:val="00B4710A"/>
    <w:rsid w:val="00B471FE"/>
    <w:rsid w:val="00B4760E"/>
    <w:rsid w:val="00B47AA9"/>
    <w:rsid w:val="00B502C9"/>
    <w:rsid w:val="00B50528"/>
    <w:rsid w:val="00B51BC4"/>
    <w:rsid w:val="00B5245A"/>
    <w:rsid w:val="00B524C6"/>
    <w:rsid w:val="00B527CA"/>
    <w:rsid w:val="00B5327F"/>
    <w:rsid w:val="00B53D1D"/>
    <w:rsid w:val="00B540B9"/>
    <w:rsid w:val="00B54AD3"/>
    <w:rsid w:val="00B54CD6"/>
    <w:rsid w:val="00B55BF9"/>
    <w:rsid w:val="00B5666B"/>
    <w:rsid w:val="00B569A0"/>
    <w:rsid w:val="00B57B37"/>
    <w:rsid w:val="00B57ED5"/>
    <w:rsid w:val="00B605EF"/>
    <w:rsid w:val="00B61497"/>
    <w:rsid w:val="00B616C5"/>
    <w:rsid w:val="00B618AF"/>
    <w:rsid w:val="00B621C9"/>
    <w:rsid w:val="00B63546"/>
    <w:rsid w:val="00B63A11"/>
    <w:rsid w:val="00B63E36"/>
    <w:rsid w:val="00B64D30"/>
    <w:rsid w:val="00B65090"/>
    <w:rsid w:val="00B65B32"/>
    <w:rsid w:val="00B65F8F"/>
    <w:rsid w:val="00B6605D"/>
    <w:rsid w:val="00B66201"/>
    <w:rsid w:val="00B674BD"/>
    <w:rsid w:val="00B702E0"/>
    <w:rsid w:val="00B703A7"/>
    <w:rsid w:val="00B70420"/>
    <w:rsid w:val="00B71BE6"/>
    <w:rsid w:val="00B72D01"/>
    <w:rsid w:val="00B76178"/>
    <w:rsid w:val="00B76610"/>
    <w:rsid w:val="00B76FFF"/>
    <w:rsid w:val="00B77B38"/>
    <w:rsid w:val="00B800BC"/>
    <w:rsid w:val="00B80E1E"/>
    <w:rsid w:val="00B81577"/>
    <w:rsid w:val="00B82057"/>
    <w:rsid w:val="00B82092"/>
    <w:rsid w:val="00B832A2"/>
    <w:rsid w:val="00B83C24"/>
    <w:rsid w:val="00B8421C"/>
    <w:rsid w:val="00B84412"/>
    <w:rsid w:val="00B85CBA"/>
    <w:rsid w:val="00B87B90"/>
    <w:rsid w:val="00B90159"/>
    <w:rsid w:val="00B90CA5"/>
    <w:rsid w:val="00B9114C"/>
    <w:rsid w:val="00B91A2E"/>
    <w:rsid w:val="00B91ECB"/>
    <w:rsid w:val="00B92770"/>
    <w:rsid w:val="00B92946"/>
    <w:rsid w:val="00B9300E"/>
    <w:rsid w:val="00B944BD"/>
    <w:rsid w:val="00B94D13"/>
    <w:rsid w:val="00B95028"/>
    <w:rsid w:val="00B95577"/>
    <w:rsid w:val="00B95F46"/>
    <w:rsid w:val="00B96D55"/>
    <w:rsid w:val="00B97190"/>
    <w:rsid w:val="00BA052D"/>
    <w:rsid w:val="00BA0E46"/>
    <w:rsid w:val="00BA350D"/>
    <w:rsid w:val="00BA4580"/>
    <w:rsid w:val="00BA46C8"/>
    <w:rsid w:val="00BA4D98"/>
    <w:rsid w:val="00BA4F97"/>
    <w:rsid w:val="00BA59DF"/>
    <w:rsid w:val="00BA623E"/>
    <w:rsid w:val="00BB034B"/>
    <w:rsid w:val="00BB0C35"/>
    <w:rsid w:val="00BB100E"/>
    <w:rsid w:val="00BB23A4"/>
    <w:rsid w:val="00BB2CBA"/>
    <w:rsid w:val="00BB3888"/>
    <w:rsid w:val="00BB3DB0"/>
    <w:rsid w:val="00BB42B5"/>
    <w:rsid w:val="00BB42D2"/>
    <w:rsid w:val="00BB4E69"/>
    <w:rsid w:val="00BB606E"/>
    <w:rsid w:val="00BB66C6"/>
    <w:rsid w:val="00BC0112"/>
    <w:rsid w:val="00BC031A"/>
    <w:rsid w:val="00BC19FB"/>
    <w:rsid w:val="00BC2437"/>
    <w:rsid w:val="00BC2D43"/>
    <w:rsid w:val="00BC3274"/>
    <w:rsid w:val="00BC4002"/>
    <w:rsid w:val="00BC5209"/>
    <w:rsid w:val="00BC72E8"/>
    <w:rsid w:val="00BC7507"/>
    <w:rsid w:val="00BC79DB"/>
    <w:rsid w:val="00BC7C9F"/>
    <w:rsid w:val="00BD2FB5"/>
    <w:rsid w:val="00BD32DA"/>
    <w:rsid w:val="00BD353E"/>
    <w:rsid w:val="00BD3FAB"/>
    <w:rsid w:val="00BD4BDB"/>
    <w:rsid w:val="00BD5B32"/>
    <w:rsid w:val="00BD5DD0"/>
    <w:rsid w:val="00BD6264"/>
    <w:rsid w:val="00BD68A5"/>
    <w:rsid w:val="00BD6A34"/>
    <w:rsid w:val="00BD6B12"/>
    <w:rsid w:val="00BD6D10"/>
    <w:rsid w:val="00BD7999"/>
    <w:rsid w:val="00BE0421"/>
    <w:rsid w:val="00BE0FF6"/>
    <w:rsid w:val="00BE1520"/>
    <w:rsid w:val="00BE22B0"/>
    <w:rsid w:val="00BE23EA"/>
    <w:rsid w:val="00BE260D"/>
    <w:rsid w:val="00BE2EE0"/>
    <w:rsid w:val="00BE375A"/>
    <w:rsid w:val="00BE413C"/>
    <w:rsid w:val="00BE43E9"/>
    <w:rsid w:val="00BE4AE6"/>
    <w:rsid w:val="00BE5440"/>
    <w:rsid w:val="00BE6114"/>
    <w:rsid w:val="00BE652C"/>
    <w:rsid w:val="00BE6AD7"/>
    <w:rsid w:val="00BE6C17"/>
    <w:rsid w:val="00BE725A"/>
    <w:rsid w:val="00BF0362"/>
    <w:rsid w:val="00BF0D2D"/>
    <w:rsid w:val="00BF186C"/>
    <w:rsid w:val="00BF1A9D"/>
    <w:rsid w:val="00BF1DF2"/>
    <w:rsid w:val="00BF2314"/>
    <w:rsid w:val="00BF3415"/>
    <w:rsid w:val="00BF40FE"/>
    <w:rsid w:val="00BF4277"/>
    <w:rsid w:val="00BF45A2"/>
    <w:rsid w:val="00BF4B5E"/>
    <w:rsid w:val="00BF5B0F"/>
    <w:rsid w:val="00BF5F13"/>
    <w:rsid w:val="00BF6238"/>
    <w:rsid w:val="00BF7887"/>
    <w:rsid w:val="00BF7BB2"/>
    <w:rsid w:val="00C0130F"/>
    <w:rsid w:val="00C017F4"/>
    <w:rsid w:val="00C01E69"/>
    <w:rsid w:val="00C030B8"/>
    <w:rsid w:val="00C030F2"/>
    <w:rsid w:val="00C032F4"/>
    <w:rsid w:val="00C03E56"/>
    <w:rsid w:val="00C0462E"/>
    <w:rsid w:val="00C04784"/>
    <w:rsid w:val="00C04ED3"/>
    <w:rsid w:val="00C054CC"/>
    <w:rsid w:val="00C05674"/>
    <w:rsid w:val="00C0570A"/>
    <w:rsid w:val="00C05958"/>
    <w:rsid w:val="00C06221"/>
    <w:rsid w:val="00C063AA"/>
    <w:rsid w:val="00C06810"/>
    <w:rsid w:val="00C06DFE"/>
    <w:rsid w:val="00C07434"/>
    <w:rsid w:val="00C11517"/>
    <w:rsid w:val="00C11A7B"/>
    <w:rsid w:val="00C12769"/>
    <w:rsid w:val="00C1394D"/>
    <w:rsid w:val="00C13EDD"/>
    <w:rsid w:val="00C14AD1"/>
    <w:rsid w:val="00C14D4C"/>
    <w:rsid w:val="00C16CD5"/>
    <w:rsid w:val="00C17319"/>
    <w:rsid w:val="00C2037F"/>
    <w:rsid w:val="00C20E8F"/>
    <w:rsid w:val="00C212A8"/>
    <w:rsid w:val="00C21A28"/>
    <w:rsid w:val="00C21D82"/>
    <w:rsid w:val="00C21FCB"/>
    <w:rsid w:val="00C21FF6"/>
    <w:rsid w:val="00C22100"/>
    <w:rsid w:val="00C2284F"/>
    <w:rsid w:val="00C22BF6"/>
    <w:rsid w:val="00C23AFC"/>
    <w:rsid w:val="00C2448E"/>
    <w:rsid w:val="00C24B4B"/>
    <w:rsid w:val="00C24DB5"/>
    <w:rsid w:val="00C25AFC"/>
    <w:rsid w:val="00C26059"/>
    <w:rsid w:val="00C26413"/>
    <w:rsid w:val="00C26816"/>
    <w:rsid w:val="00C27062"/>
    <w:rsid w:val="00C271F0"/>
    <w:rsid w:val="00C27589"/>
    <w:rsid w:val="00C3057B"/>
    <w:rsid w:val="00C3118C"/>
    <w:rsid w:val="00C317B9"/>
    <w:rsid w:val="00C3274F"/>
    <w:rsid w:val="00C33A4F"/>
    <w:rsid w:val="00C34671"/>
    <w:rsid w:val="00C347B4"/>
    <w:rsid w:val="00C3506A"/>
    <w:rsid w:val="00C356E1"/>
    <w:rsid w:val="00C35963"/>
    <w:rsid w:val="00C36539"/>
    <w:rsid w:val="00C36BC2"/>
    <w:rsid w:val="00C36F57"/>
    <w:rsid w:val="00C379EE"/>
    <w:rsid w:val="00C37CCC"/>
    <w:rsid w:val="00C402B9"/>
    <w:rsid w:val="00C40659"/>
    <w:rsid w:val="00C40729"/>
    <w:rsid w:val="00C408E4"/>
    <w:rsid w:val="00C40B1C"/>
    <w:rsid w:val="00C40C8A"/>
    <w:rsid w:val="00C41484"/>
    <w:rsid w:val="00C4186A"/>
    <w:rsid w:val="00C43632"/>
    <w:rsid w:val="00C448C3"/>
    <w:rsid w:val="00C449D7"/>
    <w:rsid w:val="00C47AA3"/>
    <w:rsid w:val="00C50941"/>
    <w:rsid w:val="00C50BE2"/>
    <w:rsid w:val="00C52A5E"/>
    <w:rsid w:val="00C54173"/>
    <w:rsid w:val="00C5554B"/>
    <w:rsid w:val="00C5565A"/>
    <w:rsid w:val="00C55680"/>
    <w:rsid w:val="00C55E7F"/>
    <w:rsid w:val="00C56268"/>
    <w:rsid w:val="00C567D4"/>
    <w:rsid w:val="00C56B64"/>
    <w:rsid w:val="00C57342"/>
    <w:rsid w:val="00C600BB"/>
    <w:rsid w:val="00C60530"/>
    <w:rsid w:val="00C6129D"/>
    <w:rsid w:val="00C621C9"/>
    <w:rsid w:val="00C6242D"/>
    <w:rsid w:val="00C6304E"/>
    <w:rsid w:val="00C638C2"/>
    <w:rsid w:val="00C64042"/>
    <w:rsid w:val="00C64F0A"/>
    <w:rsid w:val="00C65A38"/>
    <w:rsid w:val="00C66CC4"/>
    <w:rsid w:val="00C701B4"/>
    <w:rsid w:val="00C712F0"/>
    <w:rsid w:val="00C71D17"/>
    <w:rsid w:val="00C71E27"/>
    <w:rsid w:val="00C72760"/>
    <w:rsid w:val="00C727C6"/>
    <w:rsid w:val="00C72B88"/>
    <w:rsid w:val="00C72E06"/>
    <w:rsid w:val="00C72EF4"/>
    <w:rsid w:val="00C73A55"/>
    <w:rsid w:val="00C73A82"/>
    <w:rsid w:val="00C73AD2"/>
    <w:rsid w:val="00C73D7A"/>
    <w:rsid w:val="00C73D9C"/>
    <w:rsid w:val="00C741B7"/>
    <w:rsid w:val="00C744A6"/>
    <w:rsid w:val="00C752CD"/>
    <w:rsid w:val="00C7588C"/>
    <w:rsid w:val="00C76AE5"/>
    <w:rsid w:val="00C7727B"/>
    <w:rsid w:val="00C77584"/>
    <w:rsid w:val="00C77ED2"/>
    <w:rsid w:val="00C80382"/>
    <w:rsid w:val="00C8058B"/>
    <w:rsid w:val="00C805FC"/>
    <w:rsid w:val="00C80643"/>
    <w:rsid w:val="00C80D7D"/>
    <w:rsid w:val="00C80FBD"/>
    <w:rsid w:val="00C81289"/>
    <w:rsid w:val="00C83237"/>
    <w:rsid w:val="00C8383B"/>
    <w:rsid w:val="00C8440B"/>
    <w:rsid w:val="00C84F0D"/>
    <w:rsid w:val="00C8584D"/>
    <w:rsid w:val="00C85BE3"/>
    <w:rsid w:val="00C85BF7"/>
    <w:rsid w:val="00C85C5C"/>
    <w:rsid w:val="00C8659C"/>
    <w:rsid w:val="00C87B83"/>
    <w:rsid w:val="00C87C79"/>
    <w:rsid w:val="00C90124"/>
    <w:rsid w:val="00C90946"/>
    <w:rsid w:val="00C91E4B"/>
    <w:rsid w:val="00C92015"/>
    <w:rsid w:val="00C93A9F"/>
    <w:rsid w:val="00C94A5C"/>
    <w:rsid w:val="00C95AD4"/>
    <w:rsid w:val="00C95D4E"/>
    <w:rsid w:val="00C95E02"/>
    <w:rsid w:val="00C96FB3"/>
    <w:rsid w:val="00CA04B7"/>
    <w:rsid w:val="00CA05D5"/>
    <w:rsid w:val="00CA0A1E"/>
    <w:rsid w:val="00CA16DE"/>
    <w:rsid w:val="00CA1EB6"/>
    <w:rsid w:val="00CA2114"/>
    <w:rsid w:val="00CA4050"/>
    <w:rsid w:val="00CA410C"/>
    <w:rsid w:val="00CA4D8F"/>
    <w:rsid w:val="00CA4E5E"/>
    <w:rsid w:val="00CA674A"/>
    <w:rsid w:val="00CA7396"/>
    <w:rsid w:val="00CB08BB"/>
    <w:rsid w:val="00CB170E"/>
    <w:rsid w:val="00CB171C"/>
    <w:rsid w:val="00CB1C1E"/>
    <w:rsid w:val="00CB2242"/>
    <w:rsid w:val="00CB296C"/>
    <w:rsid w:val="00CB29E1"/>
    <w:rsid w:val="00CB2C62"/>
    <w:rsid w:val="00CB2D77"/>
    <w:rsid w:val="00CB4750"/>
    <w:rsid w:val="00CB4F61"/>
    <w:rsid w:val="00CB5A40"/>
    <w:rsid w:val="00CB5B01"/>
    <w:rsid w:val="00CB614A"/>
    <w:rsid w:val="00CB64E6"/>
    <w:rsid w:val="00CB68E2"/>
    <w:rsid w:val="00CB6D37"/>
    <w:rsid w:val="00CB7388"/>
    <w:rsid w:val="00CB7FF8"/>
    <w:rsid w:val="00CC01D4"/>
    <w:rsid w:val="00CC02D9"/>
    <w:rsid w:val="00CC0B2B"/>
    <w:rsid w:val="00CC0C57"/>
    <w:rsid w:val="00CC10BA"/>
    <w:rsid w:val="00CC1181"/>
    <w:rsid w:val="00CC1719"/>
    <w:rsid w:val="00CC1AC2"/>
    <w:rsid w:val="00CC1ADE"/>
    <w:rsid w:val="00CC1C87"/>
    <w:rsid w:val="00CC1E68"/>
    <w:rsid w:val="00CC2AF9"/>
    <w:rsid w:val="00CC2F51"/>
    <w:rsid w:val="00CC3C8C"/>
    <w:rsid w:val="00CC3D2E"/>
    <w:rsid w:val="00CC5196"/>
    <w:rsid w:val="00CC5D55"/>
    <w:rsid w:val="00CC6EA6"/>
    <w:rsid w:val="00CC75ED"/>
    <w:rsid w:val="00CD0BB7"/>
    <w:rsid w:val="00CD15F2"/>
    <w:rsid w:val="00CD1989"/>
    <w:rsid w:val="00CD1BC0"/>
    <w:rsid w:val="00CD1D96"/>
    <w:rsid w:val="00CD2582"/>
    <w:rsid w:val="00CD46A9"/>
    <w:rsid w:val="00CD4E9A"/>
    <w:rsid w:val="00CD5C6F"/>
    <w:rsid w:val="00CD5CF4"/>
    <w:rsid w:val="00CD6BDD"/>
    <w:rsid w:val="00CD73B6"/>
    <w:rsid w:val="00CE00CB"/>
    <w:rsid w:val="00CE0AB1"/>
    <w:rsid w:val="00CE15EB"/>
    <w:rsid w:val="00CE2FE0"/>
    <w:rsid w:val="00CE32BF"/>
    <w:rsid w:val="00CE348A"/>
    <w:rsid w:val="00CE3546"/>
    <w:rsid w:val="00CE4536"/>
    <w:rsid w:val="00CE59AF"/>
    <w:rsid w:val="00CE6513"/>
    <w:rsid w:val="00CE6790"/>
    <w:rsid w:val="00CE7F15"/>
    <w:rsid w:val="00CF0340"/>
    <w:rsid w:val="00CF04A0"/>
    <w:rsid w:val="00CF1E20"/>
    <w:rsid w:val="00CF243B"/>
    <w:rsid w:val="00CF2B15"/>
    <w:rsid w:val="00CF2FDF"/>
    <w:rsid w:val="00CF3E8B"/>
    <w:rsid w:val="00CF4747"/>
    <w:rsid w:val="00CF589C"/>
    <w:rsid w:val="00CF5B07"/>
    <w:rsid w:val="00CF6735"/>
    <w:rsid w:val="00CF6E20"/>
    <w:rsid w:val="00CF7444"/>
    <w:rsid w:val="00CF79A8"/>
    <w:rsid w:val="00CF79BC"/>
    <w:rsid w:val="00CF7A9D"/>
    <w:rsid w:val="00CF7C89"/>
    <w:rsid w:val="00D00A54"/>
    <w:rsid w:val="00D035CC"/>
    <w:rsid w:val="00D0399D"/>
    <w:rsid w:val="00D03D50"/>
    <w:rsid w:val="00D04013"/>
    <w:rsid w:val="00D0425E"/>
    <w:rsid w:val="00D0448F"/>
    <w:rsid w:val="00D04B49"/>
    <w:rsid w:val="00D06115"/>
    <w:rsid w:val="00D06AD4"/>
    <w:rsid w:val="00D06CE3"/>
    <w:rsid w:val="00D07464"/>
    <w:rsid w:val="00D079E7"/>
    <w:rsid w:val="00D1071A"/>
    <w:rsid w:val="00D10C68"/>
    <w:rsid w:val="00D10D0A"/>
    <w:rsid w:val="00D111E9"/>
    <w:rsid w:val="00D11A3B"/>
    <w:rsid w:val="00D12593"/>
    <w:rsid w:val="00D13192"/>
    <w:rsid w:val="00D148AE"/>
    <w:rsid w:val="00D14B6E"/>
    <w:rsid w:val="00D15120"/>
    <w:rsid w:val="00D151C0"/>
    <w:rsid w:val="00D15FFB"/>
    <w:rsid w:val="00D160EE"/>
    <w:rsid w:val="00D16342"/>
    <w:rsid w:val="00D167DB"/>
    <w:rsid w:val="00D17680"/>
    <w:rsid w:val="00D20239"/>
    <w:rsid w:val="00D202FE"/>
    <w:rsid w:val="00D205E6"/>
    <w:rsid w:val="00D20741"/>
    <w:rsid w:val="00D207DC"/>
    <w:rsid w:val="00D2088F"/>
    <w:rsid w:val="00D217CE"/>
    <w:rsid w:val="00D22357"/>
    <w:rsid w:val="00D24E5B"/>
    <w:rsid w:val="00D24F62"/>
    <w:rsid w:val="00D24FE3"/>
    <w:rsid w:val="00D25173"/>
    <w:rsid w:val="00D25A67"/>
    <w:rsid w:val="00D25EB4"/>
    <w:rsid w:val="00D26D1B"/>
    <w:rsid w:val="00D27685"/>
    <w:rsid w:val="00D27CD0"/>
    <w:rsid w:val="00D27EBE"/>
    <w:rsid w:val="00D318A7"/>
    <w:rsid w:val="00D31E8F"/>
    <w:rsid w:val="00D33E7B"/>
    <w:rsid w:val="00D340F8"/>
    <w:rsid w:val="00D343B6"/>
    <w:rsid w:val="00D34D1A"/>
    <w:rsid w:val="00D35221"/>
    <w:rsid w:val="00D35510"/>
    <w:rsid w:val="00D35A58"/>
    <w:rsid w:val="00D367E2"/>
    <w:rsid w:val="00D3680B"/>
    <w:rsid w:val="00D37568"/>
    <w:rsid w:val="00D37EEB"/>
    <w:rsid w:val="00D4075B"/>
    <w:rsid w:val="00D40D71"/>
    <w:rsid w:val="00D41AA4"/>
    <w:rsid w:val="00D42AEB"/>
    <w:rsid w:val="00D43350"/>
    <w:rsid w:val="00D43984"/>
    <w:rsid w:val="00D43DA7"/>
    <w:rsid w:val="00D44E58"/>
    <w:rsid w:val="00D454B8"/>
    <w:rsid w:val="00D4553B"/>
    <w:rsid w:val="00D4578B"/>
    <w:rsid w:val="00D46162"/>
    <w:rsid w:val="00D47742"/>
    <w:rsid w:val="00D47C8F"/>
    <w:rsid w:val="00D50EBE"/>
    <w:rsid w:val="00D513F5"/>
    <w:rsid w:val="00D5168E"/>
    <w:rsid w:val="00D521B3"/>
    <w:rsid w:val="00D53AEA"/>
    <w:rsid w:val="00D552BE"/>
    <w:rsid w:val="00D55531"/>
    <w:rsid w:val="00D55919"/>
    <w:rsid w:val="00D5624C"/>
    <w:rsid w:val="00D5628D"/>
    <w:rsid w:val="00D566C8"/>
    <w:rsid w:val="00D57D83"/>
    <w:rsid w:val="00D600FA"/>
    <w:rsid w:val="00D620DE"/>
    <w:rsid w:val="00D64D9B"/>
    <w:rsid w:val="00D66890"/>
    <w:rsid w:val="00D67778"/>
    <w:rsid w:val="00D704DF"/>
    <w:rsid w:val="00D72AA3"/>
    <w:rsid w:val="00D72AE2"/>
    <w:rsid w:val="00D73338"/>
    <w:rsid w:val="00D733D6"/>
    <w:rsid w:val="00D73D0A"/>
    <w:rsid w:val="00D74071"/>
    <w:rsid w:val="00D746D2"/>
    <w:rsid w:val="00D75548"/>
    <w:rsid w:val="00D75B9A"/>
    <w:rsid w:val="00D80394"/>
    <w:rsid w:val="00D80686"/>
    <w:rsid w:val="00D80A2F"/>
    <w:rsid w:val="00D80C4B"/>
    <w:rsid w:val="00D81138"/>
    <w:rsid w:val="00D81C32"/>
    <w:rsid w:val="00D82B58"/>
    <w:rsid w:val="00D842DE"/>
    <w:rsid w:val="00D8646A"/>
    <w:rsid w:val="00D86B24"/>
    <w:rsid w:val="00D87546"/>
    <w:rsid w:val="00D87732"/>
    <w:rsid w:val="00D87DB7"/>
    <w:rsid w:val="00D9069C"/>
    <w:rsid w:val="00D907D0"/>
    <w:rsid w:val="00D90BBF"/>
    <w:rsid w:val="00D91D30"/>
    <w:rsid w:val="00D92FCE"/>
    <w:rsid w:val="00D9342B"/>
    <w:rsid w:val="00D939B9"/>
    <w:rsid w:val="00D93CC0"/>
    <w:rsid w:val="00D93CDC"/>
    <w:rsid w:val="00D93EC4"/>
    <w:rsid w:val="00D93FE3"/>
    <w:rsid w:val="00D95341"/>
    <w:rsid w:val="00D9602B"/>
    <w:rsid w:val="00D961C2"/>
    <w:rsid w:val="00D96E8B"/>
    <w:rsid w:val="00D97F0A"/>
    <w:rsid w:val="00DA1788"/>
    <w:rsid w:val="00DA25FC"/>
    <w:rsid w:val="00DA304D"/>
    <w:rsid w:val="00DA3FFC"/>
    <w:rsid w:val="00DA428D"/>
    <w:rsid w:val="00DA652A"/>
    <w:rsid w:val="00DA664D"/>
    <w:rsid w:val="00DA67CC"/>
    <w:rsid w:val="00DA6F7F"/>
    <w:rsid w:val="00DA7C5D"/>
    <w:rsid w:val="00DB0028"/>
    <w:rsid w:val="00DB0F15"/>
    <w:rsid w:val="00DB0FEB"/>
    <w:rsid w:val="00DB23F8"/>
    <w:rsid w:val="00DB29EE"/>
    <w:rsid w:val="00DB38DB"/>
    <w:rsid w:val="00DB39A3"/>
    <w:rsid w:val="00DB5145"/>
    <w:rsid w:val="00DC0202"/>
    <w:rsid w:val="00DC059C"/>
    <w:rsid w:val="00DC39D7"/>
    <w:rsid w:val="00DC4687"/>
    <w:rsid w:val="00DC4B81"/>
    <w:rsid w:val="00DC5376"/>
    <w:rsid w:val="00DC55B5"/>
    <w:rsid w:val="00DC576C"/>
    <w:rsid w:val="00DC5DD1"/>
    <w:rsid w:val="00DC5EE6"/>
    <w:rsid w:val="00DC5F03"/>
    <w:rsid w:val="00DC6E21"/>
    <w:rsid w:val="00DC7F2C"/>
    <w:rsid w:val="00DD0C7D"/>
    <w:rsid w:val="00DD2569"/>
    <w:rsid w:val="00DD2C60"/>
    <w:rsid w:val="00DD322C"/>
    <w:rsid w:val="00DD3550"/>
    <w:rsid w:val="00DD3627"/>
    <w:rsid w:val="00DD3E18"/>
    <w:rsid w:val="00DD439C"/>
    <w:rsid w:val="00DD4629"/>
    <w:rsid w:val="00DD4F2B"/>
    <w:rsid w:val="00DD56C6"/>
    <w:rsid w:val="00DD5E8B"/>
    <w:rsid w:val="00DD6622"/>
    <w:rsid w:val="00DD6DC8"/>
    <w:rsid w:val="00DD797A"/>
    <w:rsid w:val="00DD7E1A"/>
    <w:rsid w:val="00DE0169"/>
    <w:rsid w:val="00DE0437"/>
    <w:rsid w:val="00DE0DAC"/>
    <w:rsid w:val="00DE111A"/>
    <w:rsid w:val="00DE1841"/>
    <w:rsid w:val="00DE1876"/>
    <w:rsid w:val="00DE2A1F"/>
    <w:rsid w:val="00DE3311"/>
    <w:rsid w:val="00DE4096"/>
    <w:rsid w:val="00DE64FB"/>
    <w:rsid w:val="00DE6655"/>
    <w:rsid w:val="00DE68E5"/>
    <w:rsid w:val="00DE7AF2"/>
    <w:rsid w:val="00DF2A9E"/>
    <w:rsid w:val="00DF4453"/>
    <w:rsid w:val="00DF4A72"/>
    <w:rsid w:val="00DF54F8"/>
    <w:rsid w:val="00DF565F"/>
    <w:rsid w:val="00DF5D25"/>
    <w:rsid w:val="00DF5F16"/>
    <w:rsid w:val="00DF603B"/>
    <w:rsid w:val="00DF7EE3"/>
    <w:rsid w:val="00E01177"/>
    <w:rsid w:val="00E01962"/>
    <w:rsid w:val="00E03F10"/>
    <w:rsid w:val="00E03FB6"/>
    <w:rsid w:val="00E0477C"/>
    <w:rsid w:val="00E04888"/>
    <w:rsid w:val="00E04B83"/>
    <w:rsid w:val="00E05FA2"/>
    <w:rsid w:val="00E06713"/>
    <w:rsid w:val="00E069EF"/>
    <w:rsid w:val="00E07115"/>
    <w:rsid w:val="00E10796"/>
    <w:rsid w:val="00E11071"/>
    <w:rsid w:val="00E112C0"/>
    <w:rsid w:val="00E11982"/>
    <w:rsid w:val="00E11DDE"/>
    <w:rsid w:val="00E12E9F"/>
    <w:rsid w:val="00E13EE9"/>
    <w:rsid w:val="00E159B9"/>
    <w:rsid w:val="00E166F2"/>
    <w:rsid w:val="00E16FEE"/>
    <w:rsid w:val="00E20644"/>
    <w:rsid w:val="00E20C4D"/>
    <w:rsid w:val="00E21E46"/>
    <w:rsid w:val="00E22997"/>
    <w:rsid w:val="00E22ECF"/>
    <w:rsid w:val="00E24308"/>
    <w:rsid w:val="00E24E39"/>
    <w:rsid w:val="00E25544"/>
    <w:rsid w:val="00E257A8"/>
    <w:rsid w:val="00E26F6F"/>
    <w:rsid w:val="00E27A43"/>
    <w:rsid w:val="00E300EA"/>
    <w:rsid w:val="00E31B8C"/>
    <w:rsid w:val="00E321B5"/>
    <w:rsid w:val="00E34618"/>
    <w:rsid w:val="00E35B20"/>
    <w:rsid w:val="00E374A8"/>
    <w:rsid w:val="00E3774E"/>
    <w:rsid w:val="00E40728"/>
    <w:rsid w:val="00E41DE5"/>
    <w:rsid w:val="00E41FD8"/>
    <w:rsid w:val="00E4267A"/>
    <w:rsid w:val="00E43A8B"/>
    <w:rsid w:val="00E43EAB"/>
    <w:rsid w:val="00E443F7"/>
    <w:rsid w:val="00E44B48"/>
    <w:rsid w:val="00E46869"/>
    <w:rsid w:val="00E46FF2"/>
    <w:rsid w:val="00E47317"/>
    <w:rsid w:val="00E47B0F"/>
    <w:rsid w:val="00E51259"/>
    <w:rsid w:val="00E51798"/>
    <w:rsid w:val="00E521C4"/>
    <w:rsid w:val="00E523B0"/>
    <w:rsid w:val="00E52689"/>
    <w:rsid w:val="00E52AEB"/>
    <w:rsid w:val="00E53905"/>
    <w:rsid w:val="00E551D3"/>
    <w:rsid w:val="00E55462"/>
    <w:rsid w:val="00E55586"/>
    <w:rsid w:val="00E55AD4"/>
    <w:rsid w:val="00E567FD"/>
    <w:rsid w:val="00E60706"/>
    <w:rsid w:val="00E62185"/>
    <w:rsid w:val="00E62DF8"/>
    <w:rsid w:val="00E63660"/>
    <w:rsid w:val="00E647DA"/>
    <w:rsid w:val="00E64AA8"/>
    <w:rsid w:val="00E64EEF"/>
    <w:rsid w:val="00E65B58"/>
    <w:rsid w:val="00E65F64"/>
    <w:rsid w:val="00E6756A"/>
    <w:rsid w:val="00E67B6F"/>
    <w:rsid w:val="00E7103A"/>
    <w:rsid w:val="00E72A4A"/>
    <w:rsid w:val="00E73608"/>
    <w:rsid w:val="00E73D28"/>
    <w:rsid w:val="00E748CB"/>
    <w:rsid w:val="00E76E4E"/>
    <w:rsid w:val="00E80107"/>
    <w:rsid w:val="00E810B1"/>
    <w:rsid w:val="00E82C59"/>
    <w:rsid w:val="00E82C92"/>
    <w:rsid w:val="00E82E0D"/>
    <w:rsid w:val="00E82FE8"/>
    <w:rsid w:val="00E8337F"/>
    <w:rsid w:val="00E8377F"/>
    <w:rsid w:val="00E84363"/>
    <w:rsid w:val="00E851C3"/>
    <w:rsid w:val="00E8535F"/>
    <w:rsid w:val="00E85D4A"/>
    <w:rsid w:val="00E8609A"/>
    <w:rsid w:val="00E863AD"/>
    <w:rsid w:val="00E864E3"/>
    <w:rsid w:val="00E87949"/>
    <w:rsid w:val="00E87E48"/>
    <w:rsid w:val="00E90690"/>
    <w:rsid w:val="00E90DBC"/>
    <w:rsid w:val="00E921E5"/>
    <w:rsid w:val="00E932F3"/>
    <w:rsid w:val="00E93707"/>
    <w:rsid w:val="00E93988"/>
    <w:rsid w:val="00E93DD2"/>
    <w:rsid w:val="00E947BF"/>
    <w:rsid w:val="00E94885"/>
    <w:rsid w:val="00E9599E"/>
    <w:rsid w:val="00E95B6E"/>
    <w:rsid w:val="00E9602D"/>
    <w:rsid w:val="00E969F5"/>
    <w:rsid w:val="00E96AE0"/>
    <w:rsid w:val="00E96F61"/>
    <w:rsid w:val="00E975F9"/>
    <w:rsid w:val="00E97678"/>
    <w:rsid w:val="00EA043A"/>
    <w:rsid w:val="00EA0941"/>
    <w:rsid w:val="00EA1522"/>
    <w:rsid w:val="00EA1558"/>
    <w:rsid w:val="00EA2645"/>
    <w:rsid w:val="00EA2745"/>
    <w:rsid w:val="00EA2A63"/>
    <w:rsid w:val="00EA424D"/>
    <w:rsid w:val="00EA4632"/>
    <w:rsid w:val="00EA5865"/>
    <w:rsid w:val="00EA6653"/>
    <w:rsid w:val="00EA69D7"/>
    <w:rsid w:val="00EA6CD7"/>
    <w:rsid w:val="00EA6D13"/>
    <w:rsid w:val="00EB1E97"/>
    <w:rsid w:val="00EB41E4"/>
    <w:rsid w:val="00EB52FC"/>
    <w:rsid w:val="00EB55EA"/>
    <w:rsid w:val="00EB5F05"/>
    <w:rsid w:val="00EB66F9"/>
    <w:rsid w:val="00EB74D6"/>
    <w:rsid w:val="00EB7ABA"/>
    <w:rsid w:val="00EB7D91"/>
    <w:rsid w:val="00EC0603"/>
    <w:rsid w:val="00EC07A9"/>
    <w:rsid w:val="00EC0C87"/>
    <w:rsid w:val="00EC135B"/>
    <w:rsid w:val="00EC1C64"/>
    <w:rsid w:val="00EC220E"/>
    <w:rsid w:val="00EC25C2"/>
    <w:rsid w:val="00EC2646"/>
    <w:rsid w:val="00EC2717"/>
    <w:rsid w:val="00EC2A2A"/>
    <w:rsid w:val="00EC329D"/>
    <w:rsid w:val="00EC3A6D"/>
    <w:rsid w:val="00EC3CD6"/>
    <w:rsid w:val="00EC44EE"/>
    <w:rsid w:val="00EC499E"/>
    <w:rsid w:val="00EC60AA"/>
    <w:rsid w:val="00EC6187"/>
    <w:rsid w:val="00EC6C80"/>
    <w:rsid w:val="00ED054E"/>
    <w:rsid w:val="00ED0C99"/>
    <w:rsid w:val="00ED181D"/>
    <w:rsid w:val="00ED1854"/>
    <w:rsid w:val="00ED38C0"/>
    <w:rsid w:val="00ED3A55"/>
    <w:rsid w:val="00ED3C6F"/>
    <w:rsid w:val="00ED589F"/>
    <w:rsid w:val="00ED614D"/>
    <w:rsid w:val="00ED693B"/>
    <w:rsid w:val="00EE02F2"/>
    <w:rsid w:val="00EE40F0"/>
    <w:rsid w:val="00EE48F0"/>
    <w:rsid w:val="00EE4A50"/>
    <w:rsid w:val="00EE4C70"/>
    <w:rsid w:val="00EE6AA9"/>
    <w:rsid w:val="00EE7E11"/>
    <w:rsid w:val="00EF008B"/>
    <w:rsid w:val="00EF0520"/>
    <w:rsid w:val="00EF0FA6"/>
    <w:rsid w:val="00EF1A5B"/>
    <w:rsid w:val="00EF26A2"/>
    <w:rsid w:val="00EF5ECF"/>
    <w:rsid w:val="00EF6032"/>
    <w:rsid w:val="00EF72D7"/>
    <w:rsid w:val="00EF74ED"/>
    <w:rsid w:val="00EF7A52"/>
    <w:rsid w:val="00F00CD4"/>
    <w:rsid w:val="00F01112"/>
    <w:rsid w:val="00F02B63"/>
    <w:rsid w:val="00F0304E"/>
    <w:rsid w:val="00F03A5E"/>
    <w:rsid w:val="00F03FC9"/>
    <w:rsid w:val="00F04360"/>
    <w:rsid w:val="00F043FB"/>
    <w:rsid w:val="00F0489E"/>
    <w:rsid w:val="00F048E1"/>
    <w:rsid w:val="00F07CB2"/>
    <w:rsid w:val="00F13319"/>
    <w:rsid w:val="00F150AD"/>
    <w:rsid w:val="00F150CF"/>
    <w:rsid w:val="00F154F4"/>
    <w:rsid w:val="00F1572E"/>
    <w:rsid w:val="00F16A81"/>
    <w:rsid w:val="00F16B1B"/>
    <w:rsid w:val="00F17043"/>
    <w:rsid w:val="00F171A4"/>
    <w:rsid w:val="00F172AF"/>
    <w:rsid w:val="00F17DD0"/>
    <w:rsid w:val="00F20203"/>
    <w:rsid w:val="00F205C6"/>
    <w:rsid w:val="00F20C1E"/>
    <w:rsid w:val="00F22F2E"/>
    <w:rsid w:val="00F2334F"/>
    <w:rsid w:val="00F234D1"/>
    <w:rsid w:val="00F24F53"/>
    <w:rsid w:val="00F26495"/>
    <w:rsid w:val="00F2786D"/>
    <w:rsid w:val="00F27D29"/>
    <w:rsid w:val="00F30483"/>
    <w:rsid w:val="00F30A15"/>
    <w:rsid w:val="00F33BA9"/>
    <w:rsid w:val="00F3519B"/>
    <w:rsid w:val="00F351AB"/>
    <w:rsid w:val="00F35723"/>
    <w:rsid w:val="00F3611B"/>
    <w:rsid w:val="00F3770F"/>
    <w:rsid w:val="00F40429"/>
    <w:rsid w:val="00F40796"/>
    <w:rsid w:val="00F40E8E"/>
    <w:rsid w:val="00F423AB"/>
    <w:rsid w:val="00F42C9A"/>
    <w:rsid w:val="00F4318D"/>
    <w:rsid w:val="00F43A57"/>
    <w:rsid w:val="00F43BAD"/>
    <w:rsid w:val="00F441F9"/>
    <w:rsid w:val="00F44528"/>
    <w:rsid w:val="00F463EA"/>
    <w:rsid w:val="00F47968"/>
    <w:rsid w:val="00F508DA"/>
    <w:rsid w:val="00F50E25"/>
    <w:rsid w:val="00F50EA3"/>
    <w:rsid w:val="00F50F4D"/>
    <w:rsid w:val="00F5140B"/>
    <w:rsid w:val="00F51BA3"/>
    <w:rsid w:val="00F52892"/>
    <w:rsid w:val="00F52B65"/>
    <w:rsid w:val="00F53587"/>
    <w:rsid w:val="00F540BD"/>
    <w:rsid w:val="00F543F3"/>
    <w:rsid w:val="00F546BF"/>
    <w:rsid w:val="00F54E77"/>
    <w:rsid w:val="00F54F08"/>
    <w:rsid w:val="00F55E5E"/>
    <w:rsid w:val="00F561E8"/>
    <w:rsid w:val="00F57D9A"/>
    <w:rsid w:val="00F57E5F"/>
    <w:rsid w:val="00F60F12"/>
    <w:rsid w:val="00F617A5"/>
    <w:rsid w:val="00F643F1"/>
    <w:rsid w:val="00F64648"/>
    <w:rsid w:val="00F64940"/>
    <w:rsid w:val="00F651D6"/>
    <w:rsid w:val="00F663A0"/>
    <w:rsid w:val="00F67C9B"/>
    <w:rsid w:val="00F67D77"/>
    <w:rsid w:val="00F70BF7"/>
    <w:rsid w:val="00F70C2F"/>
    <w:rsid w:val="00F71989"/>
    <w:rsid w:val="00F72057"/>
    <w:rsid w:val="00F727BB"/>
    <w:rsid w:val="00F73357"/>
    <w:rsid w:val="00F73567"/>
    <w:rsid w:val="00F73982"/>
    <w:rsid w:val="00F74295"/>
    <w:rsid w:val="00F74E36"/>
    <w:rsid w:val="00F74E8A"/>
    <w:rsid w:val="00F75206"/>
    <w:rsid w:val="00F757C5"/>
    <w:rsid w:val="00F7750E"/>
    <w:rsid w:val="00F7760F"/>
    <w:rsid w:val="00F77E9F"/>
    <w:rsid w:val="00F82574"/>
    <w:rsid w:val="00F830BD"/>
    <w:rsid w:val="00F847C2"/>
    <w:rsid w:val="00F8484E"/>
    <w:rsid w:val="00F8497B"/>
    <w:rsid w:val="00F84BD2"/>
    <w:rsid w:val="00F84E22"/>
    <w:rsid w:val="00F85186"/>
    <w:rsid w:val="00F85F4F"/>
    <w:rsid w:val="00F860D1"/>
    <w:rsid w:val="00F863C9"/>
    <w:rsid w:val="00F86487"/>
    <w:rsid w:val="00F86A98"/>
    <w:rsid w:val="00F90E19"/>
    <w:rsid w:val="00F91193"/>
    <w:rsid w:val="00F91555"/>
    <w:rsid w:val="00F922CD"/>
    <w:rsid w:val="00F925B2"/>
    <w:rsid w:val="00F92F39"/>
    <w:rsid w:val="00F9444C"/>
    <w:rsid w:val="00F96124"/>
    <w:rsid w:val="00F9643F"/>
    <w:rsid w:val="00F96F58"/>
    <w:rsid w:val="00F97F1A"/>
    <w:rsid w:val="00FA11F2"/>
    <w:rsid w:val="00FA17BD"/>
    <w:rsid w:val="00FA1CE7"/>
    <w:rsid w:val="00FA4A8A"/>
    <w:rsid w:val="00FA4D8B"/>
    <w:rsid w:val="00FA5183"/>
    <w:rsid w:val="00FA569E"/>
    <w:rsid w:val="00FA58F6"/>
    <w:rsid w:val="00FA70A4"/>
    <w:rsid w:val="00FA784A"/>
    <w:rsid w:val="00FB23B2"/>
    <w:rsid w:val="00FB25AC"/>
    <w:rsid w:val="00FB2681"/>
    <w:rsid w:val="00FB4851"/>
    <w:rsid w:val="00FB494E"/>
    <w:rsid w:val="00FB509E"/>
    <w:rsid w:val="00FB511B"/>
    <w:rsid w:val="00FB51E5"/>
    <w:rsid w:val="00FB610E"/>
    <w:rsid w:val="00FB6676"/>
    <w:rsid w:val="00FC0EA1"/>
    <w:rsid w:val="00FC158C"/>
    <w:rsid w:val="00FC1FE2"/>
    <w:rsid w:val="00FC2EC9"/>
    <w:rsid w:val="00FC3355"/>
    <w:rsid w:val="00FC4955"/>
    <w:rsid w:val="00FC4A1B"/>
    <w:rsid w:val="00FC4B03"/>
    <w:rsid w:val="00FC4B35"/>
    <w:rsid w:val="00FC4B65"/>
    <w:rsid w:val="00FC57EB"/>
    <w:rsid w:val="00FC6283"/>
    <w:rsid w:val="00FD091E"/>
    <w:rsid w:val="00FD0CC9"/>
    <w:rsid w:val="00FD1426"/>
    <w:rsid w:val="00FD1721"/>
    <w:rsid w:val="00FD1A75"/>
    <w:rsid w:val="00FD29E8"/>
    <w:rsid w:val="00FD32F6"/>
    <w:rsid w:val="00FD3976"/>
    <w:rsid w:val="00FD4DBE"/>
    <w:rsid w:val="00FD4E5C"/>
    <w:rsid w:val="00FD5355"/>
    <w:rsid w:val="00FD5D0D"/>
    <w:rsid w:val="00FD6157"/>
    <w:rsid w:val="00FD642E"/>
    <w:rsid w:val="00FD6DD4"/>
    <w:rsid w:val="00FD7222"/>
    <w:rsid w:val="00FD7508"/>
    <w:rsid w:val="00FD794F"/>
    <w:rsid w:val="00FD7E25"/>
    <w:rsid w:val="00FE0EA8"/>
    <w:rsid w:val="00FE0EBE"/>
    <w:rsid w:val="00FE3792"/>
    <w:rsid w:val="00FE37B8"/>
    <w:rsid w:val="00FE421C"/>
    <w:rsid w:val="00FE46D6"/>
    <w:rsid w:val="00FE48E8"/>
    <w:rsid w:val="00FE501B"/>
    <w:rsid w:val="00FE552E"/>
    <w:rsid w:val="00FE55D3"/>
    <w:rsid w:val="00FE62BC"/>
    <w:rsid w:val="00FF0428"/>
    <w:rsid w:val="00FF0526"/>
    <w:rsid w:val="00FF0A33"/>
    <w:rsid w:val="00FF1C5F"/>
    <w:rsid w:val="00FF2D36"/>
    <w:rsid w:val="00FF37C8"/>
    <w:rsid w:val="00FF4543"/>
    <w:rsid w:val="00FF48BD"/>
    <w:rsid w:val="00FF4FF5"/>
    <w:rsid w:val="00FF568D"/>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6B62"/>
  <w15:docId w15:val="{C87DC5D0-639B-4F25-BF8E-3EF08FC6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E46"/>
    <w:pPr>
      <w:autoSpaceDE w:val="0"/>
      <w:autoSpaceDN w:val="0"/>
      <w:adjustRightInd w:val="0"/>
      <w:spacing w:before="120" w:after="0" w:line="360" w:lineRule="auto"/>
      <w:ind w:firstLine="720"/>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
    <w:qFormat/>
    <w:rsid w:val="00302E29"/>
    <w:pPr>
      <w:keepNext/>
      <w:spacing w:before="240" w:after="60"/>
      <w:jc w:val="center"/>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nhideWhenUsed/>
    <w:qFormat/>
    <w:rsid w:val="00D57D83"/>
    <w:pPr>
      <w:keepNext/>
      <w:spacing w:before="240" w:after="60"/>
      <w:jc w:val="center"/>
      <w:outlineLvl w:val="1"/>
    </w:pPr>
    <w:rPr>
      <w:rFonts w:ascii="Times New (W1)" w:eastAsiaTheme="majorEastAsia" w:hAnsi="Times New (W1)" w:cstheme="majorBidi"/>
      <w:b/>
      <w:bCs/>
      <w:szCs w:val="26"/>
    </w:rPr>
  </w:style>
  <w:style w:type="paragraph" w:styleId="Heading3">
    <w:name w:val="heading 3"/>
    <w:basedOn w:val="Normal"/>
    <w:next w:val="Normal"/>
    <w:link w:val="Heading3Char"/>
    <w:unhideWhenUsed/>
    <w:qFormat/>
    <w:rsid w:val="00667787"/>
    <w:pPr>
      <w:keepNext/>
      <w:spacing w:before="240" w:after="60"/>
      <w:ind w:firstLine="0"/>
      <w:outlineLvl w:val="2"/>
    </w:pPr>
    <w:rPr>
      <w:rFonts w:ascii="Times New Roman Bold" w:eastAsiaTheme="majorEastAsia" w:hAnsi="Times New Roman Bold" w:cstheme="majorBidi"/>
      <w:b/>
      <w:bCs/>
      <w:szCs w:val="22"/>
    </w:rPr>
  </w:style>
  <w:style w:type="paragraph" w:styleId="Heading4">
    <w:name w:val="heading 4"/>
    <w:basedOn w:val="Normal"/>
    <w:next w:val="Normal"/>
    <w:link w:val="Heading4Char"/>
    <w:uiPriority w:val="9"/>
    <w:unhideWhenUsed/>
    <w:qFormat/>
    <w:rsid w:val="00667787"/>
    <w:pPr>
      <w:keepNext/>
      <w:keepLines/>
      <w:spacing w:before="200"/>
      <w:ind w:left="360" w:firstLine="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012D7"/>
    <w:pPr>
      <w:keepNext/>
      <w:keepLines/>
      <w:spacing w:before="20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E29"/>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D57D83"/>
    <w:rPr>
      <w:rFonts w:ascii="Times New (W1)" w:eastAsiaTheme="majorEastAsia" w:hAnsi="Times New (W1)" w:cstheme="majorBidi"/>
      <w:b/>
      <w:bCs/>
      <w:sz w:val="24"/>
      <w:szCs w:val="26"/>
    </w:rPr>
  </w:style>
  <w:style w:type="character" w:customStyle="1" w:styleId="Heading3Char">
    <w:name w:val="Heading 3 Char"/>
    <w:basedOn w:val="DefaultParagraphFont"/>
    <w:link w:val="Heading3"/>
    <w:rsid w:val="00667787"/>
    <w:rPr>
      <w:rFonts w:ascii="Times New Roman Bold" w:eastAsiaTheme="majorEastAsia" w:hAnsi="Times New Roman Bold" w:cstheme="majorBidi"/>
      <w:b/>
      <w:bCs/>
      <w:sz w:val="24"/>
    </w:rPr>
  </w:style>
  <w:style w:type="paragraph" w:styleId="FootnoteText">
    <w:name w:val="footnote text"/>
    <w:basedOn w:val="Normal"/>
    <w:link w:val="FootnoteTextChar"/>
    <w:unhideWhenUsed/>
    <w:qFormat/>
    <w:rsid w:val="005E15BC"/>
    <w:pPr>
      <w:spacing w:line="240" w:lineRule="auto"/>
      <w:ind w:left="720" w:right="216" w:hanging="360"/>
    </w:pPr>
    <w:rPr>
      <w:rFonts w:cstheme="minorBidi"/>
      <w:sz w:val="20"/>
    </w:rPr>
  </w:style>
  <w:style w:type="character" w:customStyle="1" w:styleId="FootnoteTextChar">
    <w:name w:val="Footnote Text Char"/>
    <w:basedOn w:val="DefaultParagraphFont"/>
    <w:link w:val="FootnoteText"/>
    <w:rsid w:val="005E15BC"/>
    <w:rPr>
      <w:rFonts w:ascii="Times New Roman" w:eastAsiaTheme="minorEastAsia" w:hAnsi="Times New Roman"/>
      <w:sz w:val="20"/>
      <w:szCs w:val="20"/>
    </w:rPr>
  </w:style>
  <w:style w:type="numbering" w:customStyle="1" w:styleId="DB1">
    <w:name w:val="D&amp;B1"/>
    <w:uiPriority w:val="99"/>
    <w:rsid w:val="00780635"/>
    <w:pPr>
      <w:numPr>
        <w:numId w:val="1"/>
      </w:numPr>
    </w:pPr>
  </w:style>
  <w:style w:type="character" w:customStyle="1" w:styleId="Heading4Char">
    <w:name w:val="Heading 4 Char"/>
    <w:basedOn w:val="DefaultParagraphFont"/>
    <w:link w:val="Heading4"/>
    <w:uiPriority w:val="9"/>
    <w:rsid w:val="00667787"/>
    <w:rPr>
      <w:rFonts w:ascii="Times New Roman" w:eastAsiaTheme="majorEastAsia" w:hAnsi="Times New Roman" w:cstheme="majorBidi"/>
      <w:b/>
      <w:bCs/>
      <w:i/>
      <w:iCs/>
      <w:sz w:val="24"/>
      <w:szCs w:val="20"/>
    </w:rPr>
  </w:style>
  <w:style w:type="character" w:customStyle="1" w:styleId="Heading5Char">
    <w:name w:val="Heading 5 Char"/>
    <w:basedOn w:val="DefaultParagraphFont"/>
    <w:link w:val="Heading5"/>
    <w:uiPriority w:val="9"/>
    <w:rsid w:val="000012D7"/>
    <w:rPr>
      <w:rFonts w:ascii="Times New Roman" w:eastAsiaTheme="majorEastAsia" w:hAnsi="Times New Roman" w:cstheme="majorBidi"/>
      <w:b/>
      <w:i/>
      <w:sz w:val="24"/>
      <w:szCs w:val="20"/>
    </w:rPr>
  </w:style>
  <w:style w:type="character" w:styleId="PageNumber">
    <w:name w:val="page number"/>
    <w:basedOn w:val="DefaultParagraphFont"/>
    <w:rsid w:val="00331B18"/>
    <w:rPr>
      <w:rFonts w:ascii="Times New (W1)" w:hAnsi="Times New (W1)"/>
      <w:dstrike w:val="0"/>
      <w:color w:val="auto"/>
      <w:sz w:val="24"/>
      <w:vertAlign w:val="baseline"/>
    </w:rPr>
  </w:style>
  <w:style w:type="paragraph" w:styleId="Header">
    <w:name w:val="header"/>
    <w:basedOn w:val="Normal"/>
    <w:link w:val="HeaderChar"/>
    <w:rsid w:val="00331B18"/>
    <w:pPr>
      <w:tabs>
        <w:tab w:val="center" w:pos="4320"/>
        <w:tab w:val="right" w:pos="8640"/>
      </w:tabs>
    </w:pPr>
  </w:style>
  <w:style w:type="character" w:customStyle="1" w:styleId="HeaderChar">
    <w:name w:val="Header Char"/>
    <w:basedOn w:val="DefaultParagraphFont"/>
    <w:link w:val="Header"/>
    <w:rsid w:val="00331B18"/>
    <w:rPr>
      <w:rFonts w:ascii="Times New Roman" w:eastAsiaTheme="minorEastAsia" w:hAnsi="Times New Roman" w:cs="Times New Roman"/>
      <w:sz w:val="24"/>
      <w:szCs w:val="20"/>
    </w:rPr>
  </w:style>
  <w:style w:type="paragraph" w:styleId="Footer">
    <w:name w:val="footer"/>
    <w:basedOn w:val="Normal"/>
    <w:link w:val="FooterChar"/>
    <w:uiPriority w:val="99"/>
    <w:rsid w:val="00331B18"/>
    <w:pPr>
      <w:tabs>
        <w:tab w:val="center" w:pos="4320"/>
        <w:tab w:val="right" w:pos="8640"/>
      </w:tabs>
      <w:spacing w:before="0"/>
    </w:pPr>
  </w:style>
  <w:style w:type="character" w:customStyle="1" w:styleId="FooterChar">
    <w:name w:val="Footer Char"/>
    <w:basedOn w:val="DefaultParagraphFont"/>
    <w:link w:val="Footer"/>
    <w:uiPriority w:val="99"/>
    <w:rsid w:val="00331B18"/>
    <w:rPr>
      <w:rFonts w:ascii="Times New Roman" w:eastAsiaTheme="minorEastAsia" w:hAnsi="Times New Roman" w:cs="Times New Roman"/>
      <w:sz w:val="24"/>
      <w:szCs w:val="20"/>
    </w:rPr>
  </w:style>
  <w:style w:type="character" w:styleId="FootnoteReference">
    <w:name w:val="footnote reference"/>
    <w:basedOn w:val="DefaultParagraphFont"/>
    <w:uiPriority w:val="99"/>
    <w:rsid w:val="00331B18"/>
    <w:rPr>
      <w:rFonts w:ascii="Times New Roman" w:hAnsi="Times New Roman"/>
      <w:dstrike w:val="0"/>
      <w:color w:val="auto"/>
      <w:position w:val="6"/>
      <w:sz w:val="16"/>
      <w:u w:val="none"/>
      <w:vertAlign w:val="baseline"/>
    </w:rPr>
  </w:style>
  <w:style w:type="character" w:styleId="Hyperlink">
    <w:name w:val="Hyperlink"/>
    <w:basedOn w:val="DefaultParagraphFont"/>
    <w:uiPriority w:val="99"/>
    <w:rsid w:val="00331B18"/>
    <w:rPr>
      <w:color w:val="0000FF"/>
      <w:sz w:val="20"/>
      <w:u w:val="single"/>
    </w:rPr>
  </w:style>
  <w:style w:type="paragraph" w:customStyle="1" w:styleId="FootnoteText1">
    <w:name w:val="Footnote Text1"/>
    <w:basedOn w:val="Normal"/>
    <w:link w:val="FootnotetextChar0"/>
    <w:qFormat/>
    <w:rsid w:val="00A6560D"/>
    <w:pPr>
      <w:autoSpaceDE/>
      <w:autoSpaceDN/>
      <w:adjustRightInd/>
      <w:ind w:left="720" w:right="360" w:hanging="360"/>
    </w:pPr>
    <w:rPr>
      <w:rFonts w:eastAsiaTheme="minorHAnsi" w:cstheme="minorBidi"/>
      <w:sz w:val="20"/>
      <w:szCs w:val="22"/>
    </w:rPr>
  </w:style>
  <w:style w:type="character" w:customStyle="1" w:styleId="style14">
    <w:name w:val="style14"/>
    <w:basedOn w:val="DefaultParagraphFont"/>
    <w:rsid w:val="00331B18"/>
  </w:style>
  <w:style w:type="character" w:customStyle="1" w:styleId="searchword">
    <w:name w:val="searchword"/>
    <w:basedOn w:val="DefaultParagraphFont"/>
    <w:rsid w:val="00331B18"/>
  </w:style>
  <w:style w:type="paragraph" w:styleId="ListParagraph">
    <w:name w:val="List Paragraph"/>
    <w:basedOn w:val="Normal"/>
    <w:uiPriority w:val="34"/>
    <w:qFormat/>
    <w:rsid w:val="00331B18"/>
    <w:pPr>
      <w:ind w:left="720"/>
      <w:contextualSpacing/>
    </w:pPr>
  </w:style>
  <w:style w:type="character" w:styleId="Strong">
    <w:name w:val="Strong"/>
    <w:basedOn w:val="DefaultParagraphFont"/>
    <w:uiPriority w:val="22"/>
    <w:qFormat/>
    <w:rsid w:val="00524576"/>
    <w:rPr>
      <w:b/>
      <w:bCs/>
    </w:rPr>
  </w:style>
  <w:style w:type="character" w:styleId="Emphasis">
    <w:name w:val="Emphasis"/>
    <w:basedOn w:val="DefaultParagraphFont"/>
    <w:uiPriority w:val="20"/>
    <w:qFormat/>
    <w:rsid w:val="00524576"/>
    <w:rPr>
      <w:i/>
      <w:iCs/>
    </w:rPr>
  </w:style>
  <w:style w:type="paragraph" w:customStyle="1" w:styleId="Default">
    <w:name w:val="Default"/>
    <w:rsid w:val="002D45FA"/>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B4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B400B6"/>
    <w:rPr>
      <w:rFonts w:ascii="Courier New" w:hAnsi="Courier New" w:cs="Courier New"/>
      <w:sz w:val="20"/>
      <w:szCs w:val="20"/>
    </w:rPr>
  </w:style>
  <w:style w:type="paragraph" w:customStyle="1" w:styleId="Footnote">
    <w:name w:val="Footnote"/>
    <w:basedOn w:val="FootnoteText"/>
    <w:link w:val="FootnoteChar"/>
    <w:qFormat/>
    <w:rsid w:val="00B37A92"/>
    <w:pPr>
      <w:autoSpaceDE/>
      <w:autoSpaceDN/>
      <w:adjustRightInd/>
    </w:pPr>
    <w:rPr>
      <w:rFonts w:eastAsiaTheme="minorHAnsi"/>
      <w:szCs w:val="22"/>
    </w:rPr>
  </w:style>
  <w:style w:type="character" w:customStyle="1" w:styleId="FootnoteChar">
    <w:name w:val="Footnote Char"/>
    <w:basedOn w:val="FootnoteTextChar"/>
    <w:link w:val="Footnote"/>
    <w:rsid w:val="00B37A92"/>
    <w:rPr>
      <w:rFonts w:ascii="Times New Roman" w:eastAsiaTheme="minorHAnsi" w:hAnsi="Times New Roman"/>
      <w:sz w:val="20"/>
      <w:szCs w:val="20"/>
    </w:rPr>
  </w:style>
  <w:style w:type="character" w:customStyle="1" w:styleId="headertext">
    <w:name w:val="headertext"/>
    <w:basedOn w:val="DefaultParagraphFont"/>
    <w:rsid w:val="00C36F57"/>
  </w:style>
  <w:style w:type="character" w:customStyle="1" w:styleId="Date1">
    <w:name w:val="Date1"/>
    <w:basedOn w:val="DefaultParagraphFont"/>
    <w:rsid w:val="003605E9"/>
  </w:style>
  <w:style w:type="paragraph" w:styleId="HTMLAddress">
    <w:name w:val="HTML Address"/>
    <w:basedOn w:val="Normal"/>
    <w:link w:val="HTMLAddressChar"/>
    <w:uiPriority w:val="99"/>
    <w:semiHidden/>
    <w:unhideWhenUsed/>
    <w:rsid w:val="003605E9"/>
    <w:pPr>
      <w:autoSpaceDE/>
      <w:autoSpaceDN/>
      <w:adjustRightInd/>
      <w:spacing w:before="0"/>
    </w:pPr>
    <w:rPr>
      <w:rFonts w:eastAsia="Times New Roman"/>
      <w:i/>
      <w:iCs/>
      <w:szCs w:val="24"/>
    </w:rPr>
  </w:style>
  <w:style w:type="character" w:customStyle="1" w:styleId="HTMLAddressChar">
    <w:name w:val="HTML Address Char"/>
    <w:basedOn w:val="DefaultParagraphFont"/>
    <w:link w:val="HTMLAddress"/>
    <w:uiPriority w:val="99"/>
    <w:semiHidden/>
    <w:rsid w:val="003605E9"/>
    <w:rPr>
      <w:rFonts w:ascii="Times New Roman" w:hAnsi="Times New Roman" w:cs="Times New Roman"/>
      <w:i/>
      <w:iCs/>
      <w:sz w:val="24"/>
      <w:szCs w:val="24"/>
    </w:rPr>
  </w:style>
  <w:style w:type="paragraph" w:customStyle="1" w:styleId="postdate">
    <w:name w:val="postdate"/>
    <w:basedOn w:val="Normal"/>
    <w:rsid w:val="009C36A3"/>
    <w:pPr>
      <w:autoSpaceDE/>
      <w:autoSpaceDN/>
      <w:adjustRightInd/>
      <w:spacing w:before="100" w:beforeAutospacing="1" w:after="100" w:afterAutospacing="1"/>
    </w:pPr>
    <w:rPr>
      <w:rFonts w:eastAsia="Times New Roman"/>
      <w:szCs w:val="24"/>
    </w:rPr>
  </w:style>
  <w:style w:type="paragraph" w:styleId="NormalWeb">
    <w:name w:val="Normal (Web)"/>
    <w:basedOn w:val="Normal"/>
    <w:uiPriority w:val="99"/>
    <w:unhideWhenUsed/>
    <w:rsid w:val="00140A80"/>
    <w:pPr>
      <w:autoSpaceDE/>
      <w:autoSpaceDN/>
      <w:adjustRightInd/>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9A6B0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0C"/>
    <w:rPr>
      <w:rFonts w:ascii="Tahoma" w:eastAsiaTheme="minorEastAsia" w:hAnsi="Tahoma" w:cs="Tahoma"/>
      <w:sz w:val="16"/>
      <w:szCs w:val="16"/>
    </w:rPr>
  </w:style>
  <w:style w:type="character" w:customStyle="1" w:styleId="apple-style-span">
    <w:name w:val="apple-style-span"/>
    <w:basedOn w:val="DefaultParagraphFont"/>
    <w:rsid w:val="004849C6"/>
  </w:style>
  <w:style w:type="character" w:customStyle="1" w:styleId="apple-converted-space">
    <w:name w:val="apple-converted-space"/>
    <w:basedOn w:val="DefaultParagraphFont"/>
    <w:rsid w:val="00AB0AA5"/>
  </w:style>
  <w:style w:type="character" w:styleId="FollowedHyperlink">
    <w:name w:val="FollowedHyperlink"/>
    <w:basedOn w:val="DefaultParagraphFont"/>
    <w:uiPriority w:val="99"/>
    <w:semiHidden/>
    <w:unhideWhenUsed/>
    <w:rsid w:val="0074298A"/>
    <w:rPr>
      <w:color w:val="800080" w:themeColor="followedHyperlink"/>
      <w:u w:val="single"/>
    </w:rPr>
  </w:style>
  <w:style w:type="character" w:customStyle="1" w:styleId="FootnotetextChar0">
    <w:name w:val="Footnote text Char"/>
    <w:basedOn w:val="FootnoteTextChar"/>
    <w:link w:val="FootnoteText1"/>
    <w:rsid w:val="00A6560D"/>
    <w:rPr>
      <w:rFonts w:ascii="Times New Roman" w:eastAsiaTheme="minorHAnsi" w:hAnsi="Times New Roman"/>
      <w:sz w:val="20"/>
      <w:szCs w:val="20"/>
    </w:rPr>
  </w:style>
  <w:style w:type="character" w:customStyle="1" w:styleId="klink">
    <w:name w:val="klink"/>
    <w:basedOn w:val="DefaultParagraphFont"/>
    <w:rsid w:val="00785B96"/>
  </w:style>
  <w:style w:type="paragraph" w:styleId="PlainText">
    <w:name w:val="Plain Text"/>
    <w:basedOn w:val="Normal"/>
    <w:link w:val="PlainTextChar"/>
    <w:uiPriority w:val="99"/>
    <w:semiHidden/>
    <w:unhideWhenUsed/>
    <w:rsid w:val="00EC2717"/>
    <w:pPr>
      <w:autoSpaceDE/>
      <w:autoSpaceDN/>
      <w:adjustRightInd/>
      <w:spacing w:before="0"/>
    </w:pPr>
    <w:rPr>
      <w:rFonts w:eastAsiaTheme="minorHAnsi" w:cstheme="minorBidi"/>
      <w:szCs w:val="21"/>
    </w:rPr>
  </w:style>
  <w:style w:type="character" w:customStyle="1" w:styleId="PlainTextChar">
    <w:name w:val="Plain Text Char"/>
    <w:basedOn w:val="DefaultParagraphFont"/>
    <w:link w:val="PlainText"/>
    <w:uiPriority w:val="99"/>
    <w:semiHidden/>
    <w:rsid w:val="00EC2717"/>
    <w:rPr>
      <w:rFonts w:ascii="Times New Roman" w:eastAsiaTheme="minorHAnsi" w:hAnsi="Times New Roman"/>
      <w:sz w:val="24"/>
      <w:szCs w:val="21"/>
    </w:rPr>
  </w:style>
  <w:style w:type="character" w:customStyle="1" w:styleId="style43">
    <w:name w:val="style43"/>
    <w:basedOn w:val="DefaultParagraphFont"/>
    <w:rsid w:val="00CF04A0"/>
  </w:style>
  <w:style w:type="character" w:customStyle="1" w:styleId="pgnum">
    <w:name w:val="pgnum"/>
    <w:basedOn w:val="DefaultParagraphFont"/>
    <w:rsid w:val="00D961C2"/>
  </w:style>
  <w:style w:type="character" w:customStyle="1" w:styleId="sup">
    <w:name w:val="sup"/>
    <w:basedOn w:val="DefaultParagraphFont"/>
    <w:rsid w:val="00D961C2"/>
  </w:style>
  <w:style w:type="paragraph" w:customStyle="1" w:styleId="story-body-text">
    <w:name w:val="story-body-text"/>
    <w:basedOn w:val="Normal"/>
    <w:rsid w:val="009A5DAD"/>
    <w:pPr>
      <w:autoSpaceDE/>
      <w:autoSpaceDN/>
      <w:adjustRightInd/>
      <w:spacing w:before="100" w:beforeAutospacing="1" w:after="100" w:afterAutospacing="1"/>
    </w:pPr>
    <w:rPr>
      <w:rFonts w:eastAsia="Times New Roman"/>
      <w:szCs w:val="24"/>
    </w:rPr>
  </w:style>
  <w:style w:type="paragraph" w:customStyle="1" w:styleId="CM4">
    <w:name w:val="CM4"/>
    <w:basedOn w:val="Default"/>
    <w:next w:val="Default"/>
    <w:uiPriority w:val="99"/>
    <w:rsid w:val="007655A1"/>
    <w:pPr>
      <w:spacing w:line="276" w:lineRule="atLeast"/>
    </w:pPr>
    <w:rPr>
      <w:rFonts w:ascii="Century Schoolbook" w:hAnsi="Century Schoolbook" w:cstheme="minorBidi"/>
      <w:color w:val="auto"/>
    </w:rPr>
  </w:style>
  <w:style w:type="character" w:customStyle="1" w:styleId="reference-text">
    <w:name w:val="reference-text"/>
    <w:basedOn w:val="DefaultParagraphFont"/>
    <w:rsid w:val="00367E4F"/>
  </w:style>
  <w:style w:type="character" w:customStyle="1" w:styleId="tx">
    <w:name w:val="tx"/>
    <w:basedOn w:val="DefaultParagraphFont"/>
    <w:rsid w:val="00D10C68"/>
  </w:style>
  <w:style w:type="character" w:styleId="UnresolvedMention">
    <w:name w:val="Unresolved Mention"/>
    <w:basedOn w:val="DefaultParagraphFont"/>
    <w:uiPriority w:val="99"/>
    <w:semiHidden/>
    <w:unhideWhenUsed/>
    <w:rsid w:val="00364584"/>
    <w:rPr>
      <w:color w:val="808080"/>
      <w:shd w:val="clear" w:color="auto" w:fill="E6E6E6"/>
    </w:rPr>
  </w:style>
  <w:style w:type="paragraph" w:customStyle="1" w:styleId="canvas-atom">
    <w:name w:val="canvas-atom"/>
    <w:basedOn w:val="Normal"/>
    <w:rsid w:val="00A75131"/>
    <w:pPr>
      <w:autoSpaceDE/>
      <w:autoSpaceDN/>
      <w:adjustRightInd/>
      <w:spacing w:before="100" w:beforeAutospacing="1" w:after="100" w:afterAutospacing="1" w:line="240" w:lineRule="auto"/>
      <w:ind w:firstLine="0"/>
    </w:pPr>
    <w:rPr>
      <w:rFonts w:eastAsia="Times New Roman"/>
      <w:szCs w:val="24"/>
    </w:rPr>
  </w:style>
  <w:style w:type="paragraph" w:customStyle="1" w:styleId="bodytext">
    <w:name w:val="bodytext"/>
    <w:basedOn w:val="Normal"/>
    <w:rsid w:val="006B77CE"/>
    <w:pPr>
      <w:autoSpaceDE/>
      <w:autoSpaceDN/>
      <w:adjustRightInd/>
      <w:spacing w:before="100" w:beforeAutospacing="1" w:after="225" w:line="270" w:lineRule="atLeast"/>
      <w:ind w:firstLine="0"/>
    </w:pPr>
    <w:rPr>
      <w:rFonts w:ascii="Arial" w:eastAsiaTheme="minorHAnsi" w:hAnsi="Arial" w:cs="Arial"/>
      <w:sz w:val="21"/>
      <w:szCs w:val="21"/>
    </w:rPr>
  </w:style>
  <w:style w:type="paragraph" w:customStyle="1" w:styleId="Normal1">
    <w:name w:val="Normal1"/>
    <w:basedOn w:val="Normal"/>
    <w:rsid w:val="00FA5183"/>
    <w:pPr>
      <w:autoSpaceDE/>
      <w:autoSpaceDN/>
      <w:adjustRightInd/>
      <w:spacing w:before="100" w:beforeAutospacing="1" w:after="100" w:afterAutospacing="1" w:line="240" w:lineRule="auto"/>
      <w:ind w:firstLine="0"/>
    </w:pPr>
    <w:rPr>
      <w:rFonts w:eastAsia="Times New Roman"/>
      <w:szCs w:val="24"/>
    </w:rPr>
  </w:style>
  <w:style w:type="character" w:customStyle="1" w:styleId="balancedheadline">
    <w:name w:val="balancedheadline"/>
    <w:basedOn w:val="DefaultParagraphFont"/>
    <w:rsid w:val="00472030"/>
  </w:style>
  <w:style w:type="paragraph" w:customStyle="1" w:styleId="css-exrw3m">
    <w:name w:val="css-exrw3m"/>
    <w:basedOn w:val="Normal"/>
    <w:rsid w:val="00A17D07"/>
    <w:pPr>
      <w:autoSpaceDE/>
      <w:autoSpaceDN/>
      <w:adjustRightInd/>
      <w:spacing w:before="100" w:beforeAutospacing="1" w:after="100" w:afterAutospacing="1" w:line="240" w:lineRule="auto"/>
      <w:ind w:firstLine="0"/>
    </w:pPr>
    <w:rPr>
      <w:rFonts w:eastAsia="Times New Roman"/>
      <w:szCs w:val="24"/>
    </w:rPr>
  </w:style>
  <w:style w:type="paragraph" w:customStyle="1" w:styleId="css-utmy9y">
    <w:name w:val="css-utmy9y"/>
    <w:basedOn w:val="Normal"/>
    <w:rsid w:val="00A17D07"/>
    <w:pPr>
      <w:autoSpaceDE/>
      <w:autoSpaceDN/>
      <w:adjustRightInd/>
      <w:spacing w:before="100" w:beforeAutospacing="1" w:after="100" w:afterAutospacing="1" w:line="240" w:lineRule="auto"/>
      <w:ind w:firstLine="0"/>
    </w:pPr>
    <w:rPr>
      <w:rFonts w:eastAsia="Times New Roman"/>
      <w:szCs w:val="24"/>
    </w:rPr>
  </w:style>
  <w:style w:type="character" w:customStyle="1" w:styleId="post-byline">
    <w:name w:val="post-byline"/>
    <w:basedOn w:val="DefaultParagraphFont"/>
    <w:rsid w:val="005F70D5"/>
  </w:style>
  <w:style w:type="character" w:customStyle="1" w:styleId="post-categories">
    <w:name w:val="post-categories"/>
    <w:basedOn w:val="DefaultParagraphFont"/>
    <w:rsid w:val="005F70D5"/>
  </w:style>
  <w:style w:type="paragraph" w:customStyle="1" w:styleId="xxmsonormal">
    <w:name w:val="xxmsonormal"/>
    <w:basedOn w:val="Normal"/>
    <w:rsid w:val="004353C2"/>
    <w:pPr>
      <w:autoSpaceDE/>
      <w:autoSpaceDN/>
      <w:adjustRightInd/>
      <w:spacing w:before="100" w:beforeAutospacing="1" w:after="100" w:afterAutospacing="1" w:line="240" w:lineRule="auto"/>
      <w:ind w:firstLine="0"/>
    </w:pPr>
    <w:rPr>
      <w:rFonts w:ascii="Calibri" w:eastAsiaTheme="minorHAnsi" w:hAnsi="Calibri" w:cs="Calibri"/>
      <w:color w:val="000000"/>
      <w:sz w:val="22"/>
      <w:szCs w:val="22"/>
    </w:rPr>
  </w:style>
  <w:style w:type="character" w:customStyle="1" w:styleId="xxmsofootnotereference">
    <w:name w:val="xxmsofootnotereference"/>
    <w:basedOn w:val="DefaultParagraphFont"/>
    <w:rsid w:val="004353C2"/>
    <w:rPr>
      <w:rFonts w:ascii="Arial" w:hAnsi="Arial" w:cs="Arial" w:hint="default"/>
    </w:rPr>
  </w:style>
  <w:style w:type="character" w:customStyle="1" w:styleId="company-name-type">
    <w:name w:val="company-name-type"/>
    <w:basedOn w:val="DefaultParagraphFont"/>
    <w:rsid w:val="008A2ED0"/>
  </w:style>
  <w:style w:type="character" w:customStyle="1" w:styleId="muxgbd">
    <w:name w:val="muxgbd"/>
    <w:basedOn w:val="DefaultParagraphFont"/>
    <w:rsid w:val="008C1986"/>
  </w:style>
  <w:style w:type="character" w:styleId="BookTitle">
    <w:name w:val="Book Title"/>
    <w:basedOn w:val="DefaultParagraphFont"/>
    <w:uiPriority w:val="33"/>
    <w:unhideWhenUsed/>
    <w:qFormat/>
    <w:rsid w:val="00B83C24"/>
    <w:rPr>
      <w:b/>
      <w:bCs/>
      <w:i/>
      <w:iCs/>
      <w:spacing w:val="5"/>
    </w:rPr>
  </w:style>
  <w:style w:type="character" w:customStyle="1" w:styleId="hidden">
    <w:name w:val="hidden"/>
    <w:basedOn w:val="DefaultParagraphFont"/>
    <w:rsid w:val="002B6662"/>
  </w:style>
  <w:style w:type="paragraph" w:customStyle="1" w:styleId="Footnote1">
    <w:name w:val="Footnote 1"/>
    <w:basedOn w:val="FootnoteText"/>
    <w:link w:val="Footnote1Char"/>
    <w:qFormat/>
    <w:rsid w:val="009E1D42"/>
    <w:pPr>
      <w:autoSpaceDE/>
      <w:autoSpaceDN/>
      <w:adjustRightInd/>
      <w:ind w:right="360"/>
    </w:pPr>
    <w:rPr>
      <w:rFonts w:eastAsiaTheme="minorHAnsi" w:cs="Times New Roman"/>
    </w:rPr>
  </w:style>
  <w:style w:type="character" w:customStyle="1" w:styleId="Footnote1Char">
    <w:name w:val="Footnote 1 Char"/>
    <w:basedOn w:val="FootnoteTextChar"/>
    <w:link w:val="Footnote1"/>
    <w:rsid w:val="009E1D42"/>
    <w:rPr>
      <w:rFonts w:ascii="Times New Roman" w:eastAsiaTheme="minorHAnsi" w:hAnsi="Times New Roman" w:cs="Times New Roman"/>
      <w:sz w:val="20"/>
      <w:szCs w:val="20"/>
    </w:rPr>
  </w:style>
  <w:style w:type="paragraph" w:customStyle="1" w:styleId="bodytext5">
    <w:name w:val="bodytext5"/>
    <w:basedOn w:val="Normal"/>
    <w:rsid w:val="00D205E6"/>
    <w:pPr>
      <w:autoSpaceDE/>
      <w:autoSpaceDN/>
      <w:adjustRightInd/>
      <w:spacing w:before="100" w:beforeAutospacing="1" w:after="100" w:afterAutospacing="1" w:line="240" w:lineRule="auto"/>
      <w:ind w:firstLine="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382">
      <w:bodyDiv w:val="1"/>
      <w:marLeft w:val="0"/>
      <w:marRight w:val="0"/>
      <w:marTop w:val="0"/>
      <w:marBottom w:val="0"/>
      <w:divBdr>
        <w:top w:val="none" w:sz="0" w:space="0" w:color="auto"/>
        <w:left w:val="none" w:sz="0" w:space="0" w:color="auto"/>
        <w:bottom w:val="none" w:sz="0" w:space="0" w:color="auto"/>
        <w:right w:val="none" w:sz="0" w:space="0" w:color="auto"/>
      </w:divBdr>
    </w:div>
    <w:div w:id="145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0984130">
          <w:marLeft w:val="0"/>
          <w:marRight w:val="0"/>
          <w:marTop w:val="0"/>
          <w:marBottom w:val="0"/>
          <w:divBdr>
            <w:top w:val="none" w:sz="0" w:space="0" w:color="auto"/>
            <w:left w:val="none" w:sz="0" w:space="0" w:color="auto"/>
            <w:bottom w:val="none" w:sz="0" w:space="0" w:color="auto"/>
            <w:right w:val="none" w:sz="0" w:space="0" w:color="auto"/>
          </w:divBdr>
        </w:div>
        <w:div w:id="679628485">
          <w:marLeft w:val="0"/>
          <w:marRight w:val="0"/>
          <w:marTop w:val="0"/>
          <w:marBottom w:val="0"/>
          <w:divBdr>
            <w:top w:val="none" w:sz="0" w:space="0" w:color="auto"/>
            <w:left w:val="none" w:sz="0" w:space="0" w:color="auto"/>
            <w:bottom w:val="none" w:sz="0" w:space="0" w:color="auto"/>
            <w:right w:val="none" w:sz="0" w:space="0" w:color="auto"/>
          </w:divBdr>
        </w:div>
      </w:divsChild>
    </w:div>
    <w:div w:id="187374508">
      <w:bodyDiv w:val="1"/>
      <w:marLeft w:val="0"/>
      <w:marRight w:val="0"/>
      <w:marTop w:val="0"/>
      <w:marBottom w:val="0"/>
      <w:divBdr>
        <w:top w:val="none" w:sz="0" w:space="0" w:color="auto"/>
        <w:left w:val="none" w:sz="0" w:space="0" w:color="auto"/>
        <w:bottom w:val="none" w:sz="0" w:space="0" w:color="auto"/>
        <w:right w:val="none" w:sz="0" w:space="0" w:color="auto"/>
      </w:divBdr>
    </w:div>
    <w:div w:id="238904810">
      <w:bodyDiv w:val="1"/>
      <w:marLeft w:val="0"/>
      <w:marRight w:val="0"/>
      <w:marTop w:val="0"/>
      <w:marBottom w:val="0"/>
      <w:divBdr>
        <w:top w:val="none" w:sz="0" w:space="0" w:color="auto"/>
        <w:left w:val="none" w:sz="0" w:space="0" w:color="auto"/>
        <w:bottom w:val="none" w:sz="0" w:space="0" w:color="auto"/>
        <w:right w:val="none" w:sz="0" w:space="0" w:color="auto"/>
      </w:divBdr>
    </w:div>
    <w:div w:id="245650594">
      <w:bodyDiv w:val="1"/>
      <w:marLeft w:val="0"/>
      <w:marRight w:val="0"/>
      <w:marTop w:val="0"/>
      <w:marBottom w:val="0"/>
      <w:divBdr>
        <w:top w:val="none" w:sz="0" w:space="0" w:color="auto"/>
        <w:left w:val="none" w:sz="0" w:space="0" w:color="auto"/>
        <w:bottom w:val="none" w:sz="0" w:space="0" w:color="auto"/>
        <w:right w:val="none" w:sz="0" w:space="0" w:color="auto"/>
      </w:divBdr>
    </w:div>
    <w:div w:id="254214397">
      <w:bodyDiv w:val="1"/>
      <w:marLeft w:val="0"/>
      <w:marRight w:val="0"/>
      <w:marTop w:val="0"/>
      <w:marBottom w:val="0"/>
      <w:divBdr>
        <w:top w:val="none" w:sz="0" w:space="0" w:color="auto"/>
        <w:left w:val="none" w:sz="0" w:space="0" w:color="auto"/>
        <w:bottom w:val="none" w:sz="0" w:space="0" w:color="auto"/>
        <w:right w:val="none" w:sz="0" w:space="0" w:color="auto"/>
      </w:divBdr>
    </w:div>
    <w:div w:id="255793246">
      <w:bodyDiv w:val="1"/>
      <w:marLeft w:val="0"/>
      <w:marRight w:val="0"/>
      <w:marTop w:val="0"/>
      <w:marBottom w:val="0"/>
      <w:divBdr>
        <w:top w:val="none" w:sz="0" w:space="0" w:color="auto"/>
        <w:left w:val="none" w:sz="0" w:space="0" w:color="auto"/>
        <w:bottom w:val="none" w:sz="0" w:space="0" w:color="auto"/>
        <w:right w:val="none" w:sz="0" w:space="0" w:color="auto"/>
      </w:divBdr>
    </w:div>
    <w:div w:id="256445578">
      <w:bodyDiv w:val="1"/>
      <w:marLeft w:val="0"/>
      <w:marRight w:val="0"/>
      <w:marTop w:val="0"/>
      <w:marBottom w:val="0"/>
      <w:divBdr>
        <w:top w:val="none" w:sz="0" w:space="0" w:color="auto"/>
        <w:left w:val="none" w:sz="0" w:space="0" w:color="auto"/>
        <w:bottom w:val="none" w:sz="0" w:space="0" w:color="auto"/>
        <w:right w:val="none" w:sz="0" w:space="0" w:color="auto"/>
      </w:divBdr>
    </w:div>
    <w:div w:id="372930063">
      <w:bodyDiv w:val="1"/>
      <w:marLeft w:val="0"/>
      <w:marRight w:val="0"/>
      <w:marTop w:val="0"/>
      <w:marBottom w:val="0"/>
      <w:divBdr>
        <w:top w:val="none" w:sz="0" w:space="0" w:color="auto"/>
        <w:left w:val="none" w:sz="0" w:space="0" w:color="auto"/>
        <w:bottom w:val="none" w:sz="0" w:space="0" w:color="auto"/>
        <w:right w:val="none" w:sz="0" w:space="0" w:color="auto"/>
      </w:divBdr>
      <w:divsChild>
        <w:div w:id="625505609">
          <w:marLeft w:val="0"/>
          <w:marRight w:val="0"/>
          <w:marTop w:val="0"/>
          <w:marBottom w:val="0"/>
          <w:divBdr>
            <w:top w:val="none" w:sz="0" w:space="0" w:color="auto"/>
            <w:left w:val="none" w:sz="0" w:space="0" w:color="auto"/>
            <w:bottom w:val="none" w:sz="0" w:space="0" w:color="auto"/>
            <w:right w:val="none" w:sz="0" w:space="0" w:color="auto"/>
          </w:divBdr>
          <w:divsChild>
            <w:div w:id="1315573188">
              <w:marLeft w:val="0"/>
              <w:marRight w:val="0"/>
              <w:marTop w:val="0"/>
              <w:marBottom w:val="0"/>
              <w:divBdr>
                <w:top w:val="none" w:sz="0" w:space="0" w:color="auto"/>
                <w:left w:val="none" w:sz="0" w:space="0" w:color="auto"/>
                <w:bottom w:val="none" w:sz="0" w:space="0" w:color="auto"/>
                <w:right w:val="none" w:sz="0" w:space="0" w:color="auto"/>
              </w:divBdr>
            </w:div>
          </w:divsChild>
        </w:div>
        <w:div w:id="757823730">
          <w:marLeft w:val="0"/>
          <w:marRight w:val="0"/>
          <w:marTop w:val="0"/>
          <w:marBottom w:val="0"/>
          <w:divBdr>
            <w:top w:val="none" w:sz="0" w:space="0" w:color="auto"/>
            <w:left w:val="none" w:sz="0" w:space="0" w:color="auto"/>
            <w:bottom w:val="none" w:sz="0" w:space="0" w:color="auto"/>
            <w:right w:val="none" w:sz="0" w:space="0" w:color="auto"/>
          </w:divBdr>
        </w:div>
      </w:divsChild>
    </w:div>
    <w:div w:id="378094800">
      <w:bodyDiv w:val="1"/>
      <w:marLeft w:val="0"/>
      <w:marRight w:val="0"/>
      <w:marTop w:val="0"/>
      <w:marBottom w:val="0"/>
      <w:divBdr>
        <w:top w:val="none" w:sz="0" w:space="0" w:color="auto"/>
        <w:left w:val="none" w:sz="0" w:space="0" w:color="auto"/>
        <w:bottom w:val="none" w:sz="0" w:space="0" w:color="auto"/>
        <w:right w:val="none" w:sz="0" w:space="0" w:color="auto"/>
      </w:divBdr>
    </w:div>
    <w:div w:id="445584365">
      <w:bodyDiv w:val="1"/>
      <w:marLeft w:val="0"/>
      <w:marRight w:val="0"/>
      <w:marTop w:val="0"/>
      <w:marBottom w:val="0"/>
      <w:divBdr>
        <w:top w:val="none" w:sz="0" w:space="0" w:color="auto"/>
        <w:left w:val="none" w:sz="0" w:space="0" w:color="auto"/>
        <w:bottom w:val="none" w:sz="0" w:space="0" w:color="auto"/>
        <w:right w:val="none" w:sz="0" w:space="0" w:color="auto"/>
      </w:divBdr>
    </w:div>
    <w:div w:id="459419335">
      <w:bodyDiv w:val="1"/>
      <w:marLeft w:val="0"/>
      <w:marRight w:val="0"/>
      <w:marTop w:val="0"/>
      <w:marBottom w:val="0"/>
      <w:divBdr>
        <w:top w:val="none" w:sz="0" w:space="0" w:color="auto"/>
        <w:left w:val="none" w:sz="0" w:space="0" w:color="auto"/>
        <w:bottom w:val="none" w:sz="0" w:space="0" w:color="auto"/>
        <w:right w:val="none" w:sz="0" w:space="0" w:color="auto"/>
      </w:divBdr>
    </w:div>
    <w:div w:id="462695854">
      <w:bodyDiv w:val="1"/>
      <w:marLeft w:val="0"/>
      <w:marRight w:val="0"/>
      <w:marTop w:val="0"/>
      <w:marBottom w:val="0"/>
      <w:divBdr>
        <w:top w:val="none" w:sz="0" w:space="0" w:color="auto"/>
        <w:left w:val="none" w:sz="0" w:space="0" w:color="auto"/>
        <w:bottom w:val="none" w:sz="0" w:space="0" w:color="auto"/>
        <w:right w:val="none" w:sz="0" w:space="0" w:color="auto"/>
      </w:divBdr>
    </w:div>
    <w:div w:id="505249573">
      <w:bodyDiv w:val="1"/>
      <w:marLeft w:val="0"/>
      <w:marRight w:val="0"/>
      <w:marTop w:val="0"/>
      <w:marBottom w:val="0"/>
      <w:divBdr>
        <w:top w:val="none" w:sz="0" w:space="0" w:color="auto"/>
        <w:left w:val="none" w:sz="0" w:space="0" w:color="auto"/>
        <w:bottom w:val="none" w:sz="0" w:space="0" w:color="auto"/>
        <w:right w:val="none" w:sz="0" w:space="0" w:color="auto"/>
      </w:divBdr>
    </w:div>
    <w:div w:id="521283749">
      <w:bodyDiv w:val="1"/>
      <w:marLeft w:val="0"/>
      <w:marRight w:val="0"/>
      <w:marTop w:val="0"/>
      <w:marBottom w:val="0"/>
      <w:divBdr>
        <w:top w:val="none" w:sz="0" w:space="0" w:color="auto"/>
        <w:left w:val="none" w:sz="0" w:space="0" w:color="auto"/>
        <w:bottom w:val="none" w:sz="0" w:space="0" w:color="auto"/>
        <w:right w:val="none" w:sz="0" w:space="0" w:color="auto"/>
      </w:divBdr>
    </w:div>
    <w:div w:id="532808709">
      <w:bodyDiv w:val="1"/>
      <w:marLeft w:val="0"/>
      <w:marRight w:val="0"/>
      <w:marTop w:val="0"/>
      <w:marBottom w:val="0"/>
      <w:divBdr>
        <w:top w:val="none" w:sz="0" w:space="0" w:color="auto"/>
        <w:left w:val="none" w:sz="0" w:space="0" w:color="auto"/>
        <w:bottom w:val="none" w:sz="0" w:space="0" w:color="auto"/>
        <w:right w:val="none" w:sz="0" w:space="0" w:color="auto"/>
      </w:divBdr>
    </w:div>
    <w:div w:id="571045796">
      <w:bodyDiv w:val="1"/>
      <w:marLeft w:val="0"/>
      <w:marRight w:val="0"/>
      <w:marTop w:val="0"/>
      <w:marBottom w:val="0"/>
      <w:divBdr>
        <w:top w:val="none" w:sz="0" w:space="0" w:color="auto"/>
        <w:left w:val="none" w:sz="0" w:space="0" w:color="auto"/>
        <w:bottom w:val="none" w:sz="0" w:space="0" w:color="auto"/>
        <w:right w:val="none" w:sz="0" w:space="0" w:color="auto"/>
      </w:divBdr>
    </w:div>
    <w:div w:id="571281507">
      <w:bodyDiv w:val="1"/>
      <w:marLeft w:val="0"/>
      <w:marRight w:val="0"/>
      <w:marTop w:val="0"/>
      <w:marBottom w:val="0"/>
      <w:divBdr>
        <w:top w:val="none" w:sz="0" w:space="0" w:color="auto"/>
        <w:left w:val="none" w:sz="0" w:space="0" w:color="auto"/>
        <w:bottom w:val="none" w:sz="0" w:space="0" w:color="auto"/>
        <w:right w:val="none" w:sz="0" w:space="0" w:color="auto"/>
      </w:divBdr>
    </w:div>
    <w:div w:id="601764935">
      <w:bodyDiv w:val="1"/>
      <w:marLeft w:val="0"/>
      <w:marRight w:val="0"/>
      <w:marTop w:val="0"/>
      <w:marBottom w:val="0"/>
      <w:divBdr>
        <w:top w:val="none" w:sz="0" w:space="0" w:color="auto"/>
        <w:left w:val="none" w:sz="0" w:space="0" w:color="auto"/>
        <w:bottom w:val="none" w:sz="0" w:space="0" w:color="auto"/>
        <w:right w:val="none" w:sz="0" w:space="0" w:color="auto"/>
      </w:divBdr>
    </w:div>
    <w:div w:id="625889968">
      <w:bodyDiv w:val="1"/>
      <w:marLeft w:val="0"/>
      <w:marRight w:val="0"/>
      <w:marTop w:val="0"/>
      <w:marBottom w:val="0"/>
      <w:divBdr>
        <w:top w:val="none" w:sz="0" w:space="0" w:color="auto"/>
        <w:left w:val="none" w:sz="0" w:space="0" w:color="auto"/>
        <w:bottom w:val="none" w:sz="0" w:space="0" w:color="auto"/>
        <w:right w:val="none" w:sz="0" w:space="0" w:color="auto"/>
      </w:divBdr>
    </w:div>
    <w:div w:id="691688752">
      <w:bodyDiv w:val="1"/>
      <w:marLeft w:val="0"/>
      <w:marRight w:val="0"/>
      <w:marTop w:val="0"/>
      <w:marBottom w:val="0"/>
      <w:divBdr>
        <w:top w:val="none" w:sz="0" w:space="0" w:color="auto"/>
        <w:left w:val="none" w:sz="0" w:space="0" w:color="auto"/>
        <w:bottom w:val="none" w:sz="0" w:space="0" w:color="auto"/>
        <w:right w:val="none" w:sz="0" w:space="0" w:color="auto"/>
      </w:divBdr>
    </w:div>
    <w:div w:id="773473695">
      <w:bodyDiv w:val="1"/>
      <w:marLeft w:val="0"/>
      <w:marRight w:val="0"/>
      <w:marTop w:val="0"/>
      <w:marBottom w:val="0"/>
      <w:divBdr>
        <w:top w:val="none" w:sz="0" w:space="0" w:color="auto"/>
        <w:left w:val="none" w:sz="0" w:space="0" w:color="auto"/>
        <w:bottom w:val="none" w:sz="0" w:space="0" w:color="auto"/>
        <w:right w:val="none" w:sz="0" w:space="0" w:color="auto"/>
      </w:divBdr>
    </w:div>
    <w:div w:id="821584515">
      <w:bodyDiv w:val="1"/>
      <w:marLeft w:val="0"/>
      <w:marRight w:val="0"/>
      <w:marTop w:val="0"/>
      <w:marBottom w:val="0"/>
      <w:divBdr>
        <w:top w:val="none" w:sz="0" w:space="0" w:color="auto"/>
        <w:left w:val="none" w:sz="0" w:space="0" w:color="auto"/>
        <w:bottom w:val="none" w:sz="0" w:space="0" w:color="auto"/>
        <w:right w:val="none" w:sz="0" w:space="0" w:color="auto"/>
      </w:divBdr>
    </w:div>
    <w:div w:id="910773675">
      <w:bodyDiv w:val="1"/>
      <w:marLeft w:val="0"/>
      <w:marRight w:val="0"/>
      <w:marTop w:val="0"/>
      <w:marBottom w:val="0"/>
      <w:divBdr>
        <w:top w:val="none" w:sz="0" w:space="0" w:color="auto"/>
        <w:left w:val="none" w:sz="0" w:space="0" w:color="auto"/>
        <w:bottom w:val="none" w:sz="0" w:space="0" w:color="auto"/>
        <w:right w:val="none" w:sz="0" w:space="0" w:color="auto"/>
      </w:divBdr>
    </w:div>
    <w:div w:id="927542078">
      <w:bodyDiv w:val="1"/>
      <w:marLeft w:val="0"/>
      <w:marRight w:val="0"/>
      <w:marTop w:val="0"/>
      <w:marBottom w:val="0"/>
      <w:divBdr>
        <w:top w:val="none" w:sz="0" w:space="0" w:color="auto"/>
        <w:left w:val="none" w:sz="0" w:space="0" w:color="auto"/>
        <w:bottom w:val="none" w:sz="0" w:space="0" w:color="auto"/>
        <w:right w:val="none" w:sz="0" w:space="0" w:color="auto"/>
      </w:divBdr>
    </w:div>
    <w:div w:id="981155989">
      <w:bodyDiv w:val="1"/>
      <w:marLeft w:val="0"/>
      <w:marRight w:val="0"/>
      <w:marTop w:val="0"/>
      <w:marBottom w:val="0"/>
      <w:divBdr>
        <w:top w:val="none" w:sz="0" w:space="0" w:color="auto"/>
        <w:left w:val="none" w:sz="0" w:space="0" w:color="auto"/>
        <w:bottom w:val="none" w:sz="0" w:space="0" w:color="auto"/>
        <w:right w:val="none" w:sz="0" w:space="0" w:color="auto"/>
      </w:divBdr>
    </w:div>
    <w:div w:id="1025473527">
      <w:bodyDiv w:val="1"/>
      <w:marLeft w:val="0"/>
      <w:marRight w:val="0"/>
      <w:marTop w:val="0"/>
      <w:marBottom w:val="0"/>
      <w:divBdr>
        <w:top w:val="none" w:sz="0" w:space="0" w:color="auto"/>
        <w:left w:val="none" w:sz="0" w:space="0" w:color="auto"/>
        <w:bottom w:val="none" w:sz="0" w:space="0" w:color="auto"/>
        <w:right w:val="none" w:sz="0" w:space="0" w:color="auto"/>
      </w:divBdr>
    </w:div>
    <w:div w:id="1044673675">
      <w:bodyDiv w:val="1"/>
      <w:marLeft w:val="0"/>
      <w:marRight w:val="0"/>
      <w:marTop w:val="0"/>
      <w:marBottom w:val="0"/>
      <w:divBdr>
        <w:top w:val="none" w:sz="0" w:space="0" w:color="auto"/>
        <w:left w:val="none" w:sz="0" w:space="0" w:color="auto"/>
        <w:bottom w:val="none" w:sz="0" w:space="0" w:color="auto"/>
        <w:right w:val="none" w:sz="0" w:space="0" w:color="auto"/>
      </w:divBdr>
    </w:div>
    <w:div w:id="1055086363">
      <w:bodyDiv w:val="1"/>
      <w:marLeft w:val="0"/>
      <w:marRight w:val="0"/>
      <w:marTop w:val="0"/>
      <w:marBottom w:val="0"/>
      <w:divBdr>
        <w:top w:val="none" w:sz="0" w:space="0" w:color="auto"/>
        <w:left w:val="none" w:sz="0" w:space="0" w:color="auto"/>
        <w:bottom w:val="none" w:sz="0" w:space="0" w:color="auto"/>
        <w:right w:val="none" w:sz="0" w:space="0" w:color="auto"/>
      </w:divBdr>
    </w:div>
    <w:div w:id="1077478862">
      <w:bodyDiv w:val="1"/>
      <w:marLeft w:val="0"/>
      <w:marRight w:val="0"/>
      <w:marTop w:val="0"/>
      <w:marBottom w:val="0"/>
      <w:divBdr>
        <w:top w:val="none" w:sz="0" w:space="0" w:color="auto"/>
        <w:left w:val="none" w:sz="0" w:space="0" w:color="auto"/>
        <w:bottom w:val="none" w:sz="0" w:space="0" w:color="auto"/>
        <w:right w:val="none" w:sz="0" w:space="0" w:color="auto"/>
      </w:divBdr>
    </w:div>
    <w:div w:id="1123697253">
      <w:bodyDiv w:val="1"/>
      <w:marLeft w:val="0"/>
      <w:marRight w:val="0"/>
      <w:marTop w:val="0"/>
      <w:marBottom w:val="0"/>
      <w:divBdr>
        <w:top w:val="none" w:sz="0" w:space="0" w:color="auto"/>
        <w:left w:val="none" w:sz="0" w:space="0" w:color="auto"/>
        <w:bottom w:val="none" w:sz="0" w:space="0" w:color="auto"/>
        <w:right w:val="none" w:sz="0" w:space="0" w:color="auto"/>
      </w:divBdr>
      <w:divsChild>
        <w:div w:id="43718345">
          <w:marLeft w:val="0"/>
          <w:marRight w:val="0"/>
          <w:marTop w:val="0"/>
          <w:marBottom w:val="0"/>
          <w:divBdr>
            <w:top w:val="none" w:sz="0" w:space="0" w:color="auto"/>
            <w:left w:val="none" w:sz="0" w:space="0" w:color="auto"/>
            <w:bottom w:val="none" w:sz="0" w:space="0" w:color="auto"/>
            <w:right w:val="none" w:sz="0" w:space="0" w:color="auto"/>
          </w:divBdr>
        </w:div>
        <w:div w:id="1918247023">
          <w:marLeft w:val="0"/>
          <w:marRight w:val="0"/>
          <w:marTop w:val="375"/>
          <w:marBottom w:val="0"/>
          <w:divBdr>
            <w:top w:val="none" w:sz="0" w:space="0" w:color="auto"/>
            <w:left w:val="none" w:sz="0" w:space="0" w:color="auto"/>
            <w:bottom w:val="none" w:sz="0" w:space="0" w:color="auto"/>
            <w:right w:val="none" w:sz="0" w:space="0" w:color="auto"/>
          </w:divBdr>
          <w:divsChild>
            <w:div w:id="907613906">
              <w:marLeft w:val="0"/>
              <w:marRight w:val="0"/>
              <w:marTop w:val="0"/>
              <w:marBottom w:val="0"/>
              <w:divBdr>
                <w:top w:val="none" w:sz="0" w:space="0" w:color="auto"/>
                <w:left w:val="none" w:sz="0" w:space="0" w:color="auto"/>
                <w:bottom w:val="none" w:sz="0" w:space="0" w:color="auto"/>
                <w:right w:val="none" w:sz="0" w:space="0" w:color="auto"/>
              </w:divBdr>
              <w:divsChild>
                <w:div w:id="852039626">
                  <w:marLeft w:val="0"/>
                  <w:marRight w:val="0"/>
                  <w:marTop w:val="0"/>
                  <w:marBottom w:val="0"/>
                  <w:divBdr>
                    <w:top w:val="none" w:sz="0" w:space="0" w:color="auto"/>
                    <w:left w:val="none" w:sz="0" w:space="0" w:color="auto"/>
                    <w:bottom w:val="none" w:sz="0" w:space="0" w:color="auto"/>
                    <w:right w:val="none" w:sz="0" w:space="0" w:color="auto"/>
                  </w:divBdr>
                  <w:divsChild>
                    <w:div w:id="7135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3319">
      <w:bodyDiv w:val="1"/>
      <w:marLeft w:val="0"/>
      <w:marRight w:val="0"/>
      <w:marTop w:val="0"/>
      <w:marBottom w:val="0"/>
      <w:divBdr>
        <w:top w:val="none" w:sz="0" w:space="0" w:color="auto"/>
        <w:left w:val="none" w:sz="0" w:space="0" w:color="auto"/>
        <w:bottom w:val="none" w:sz="0" w:space="0" w:color="auto"/>
        <w:right w:val="none" w:sz="0" w:space="0" w:color="auto"/>
      </w:divBdr>
    </w:div>
    <w:div w:id="1146706092">
      <w:bodyDiv w:val="1"/>
      <w:marLeft w:val="0"/>
      <w:marRight w:val="0"/>
      <w:marTop w:val="0"/>
      <w:marBottom w:val="0"/>
      <w:divBdr>
        <w:top w:val="none" w:sz="0" w:space="0" w:color="auto"/>
        <w:left w:val="none" w:sz="0" w:space="0" w:color="auto"/>
        <w:bottom w:val="none" w:sz="0" w:space="0" w:color="auto"/>
        <w:right w:val="none" w:sz="0" w:space="0" w:color="auto"/>
      </w:divBdr>
    </w:div>
    <w:div w:id="1163811148">
      <w:bodyDiv w:val="1"/>
      <w:marLeft w:val="0"/>
      <w:marRight w:val="0"/>
      <w:marTop w:val="0"/>
      <w:marBottom w:val="0"/>
      <w:divBdr>
        <w:top w:val="none" w:sz="0" w:space="0" w:color="auto"/>
        <w:left w:val="none" w:sz="0" w:space="0" w:color="auto"/>
        <w:bottom w:val="none" w:sz="0" w:space="0" w:color="auto"/>
        <w:right w:val="none" w:sz="0" w:space="0" w:color="auto"/>
      </w:divBdr>
      <w:divsChild>
        <w:div w:id="932394773">
          <w:marLeft w:val="0"/>
          <w:marRight w:val="0"/>
          <w:marTop w:val="150"/>
          <w:marBottom w:val="0"/>
          <w:divBdr>
            <w:top w:val="none" w:sz="0" w:space="0" w:color="auto"/>
            <w:left w:val="none" w:sz="0" w:space="0" w:color="auto"/>
            <w:bottom w:val="none" w:sz="0" w:space="0" w:color="auto"/>
            <w:right w:val="none" w:sz="0" w:space="0" w:color="auto"/>
          </w:divBdr>
        </w:div>
      </w:divsChild>
    </w:div>
    <w:div w:id="1248611965">
      <w:bodyDiv w:val="1"/>
      <w:marLeft w:val="0"/>
      <w:marRight w:val="0"/>
      <w:marTop w:val="0"/>
      <w:marBottom w:val="0"/>
      <w:divBdr>
        <w:top w:val="none" w:sz="0" w:space="0" w:color="auto"/>
        <w:left w:val="none" w:sz="0" w:space="0" w:color="auto"/>
        <w:bottom w:val="none" w:sz="0" w:space="0" w:color="auto"/>
        <w:right w:val="none" w:sz="0" w:space="0" w:color="auto"/>
      </w:divBdr>
    </w:div>
    <w:div w:id="1253315904">
      <w:bodyDiv w:val="1"/>
      <w:marLeft w:val="0"/>
      <w:marRight w:val="0"/>
      <w:marTop w:val="0"/>
      <w:marBottom w:val="0"/>
      <w:divBdr>
        <w:top w:val="none" w:sz="0" w:space="0" w:color="auto"/>
        <w:left w:val="none" w:sz="0" w:space="0" w:color="auto"/>
        <w:bottom w:val="none" w:sz="0" w:space="0" w:color="auto"/>
        <w:right w:val="none" w:sz="0" w:space="0" w:color="auto"/>
      </w:divBdr>
    </w:div>
    <w:div w:id="1284574950">
      <w:bodyDiv w:val="1"/>
      <w:marLeft w:val="0"/>
      <w:marRight w:val="0"/>
      <w:marTop w:val="0"/>
      <w:marBottom w:val="0"/>
      <w:divBdr>
        <w:top w:val="none" w:sz="0" w:space="0" w:color="auto"/>
        <w:left w:val="none" w:sz="0" w:space="0" w:color="auto"/>
        <w:bottom w:val="none" w:sz="0" w:space="0" w:color="auto"/>
        <w:right w:val="none" w:sz="0" w:space="0" w:color="auto"/>
      </w:divBdr>
    </w:div>
    <w:div w:id="1297293350">
      <w:bodyDiv w:val="1"/>
      <w:marLeft w:val="0"/>
      <w:marRight w:val="0"/>
      <w:marTop w:val="0"/>
      <w:marBottom w:val="0"/>
      <w:divBdr>
        <w:top w:val="none" w:sz="0" w:space="0" w:color="auto"/>
        <w:left w:val="none" w:sz="0" w:space="0" w:color="auto"/>
        <w:bottom w:val="none" w:sz="0" w:space="0" w:color="auto"/>
        <w:right w:val="none" w:sz="0" w:space="0" w:color="auto"/>
      </w:divBdr>
    </w:div>
    <w:div w:id="1383751784">
      <w:bodyDiv w:val="1"/>
      <w:marLeft w:val="0"/>
      <w:marRight w:val="0"/>
      <w:marTop w:val="0"/>
      <w:marBottom w:val="0"/>
      <w:divBdr>
        <w:top w:val="none" w:sz="0" w:space="0" w:color="auto"/>
        <w:left w:val="none" w:sz="0" w:space="0" w:color="auto"/>
        <w:bottom w:val="none" w:sz="0" w:space="0" w:color="auto"/>
        <w:right w:val="none" w:sz="0" w:space="0" w:color="auto"/>
      </w:divBdr>
    </w:div>
    <w:div w:id="1393582541">
      <w:bodyDiv w:val="1"/>
      <w:marLeft w:val="0"/>
      <w:marRight w:val="0"/>
      <w:marTop w:val="0"/>
      <w:marBottom w:val="0"/>
      <w:divBdr>
        <w:top w:val="none" w:sz="0" w:space="0" w:color="auto"/>
        <w:left w:val="none" w:sz="0" w:space="0" w:color="auto"/>
        <w:bottom w:val="none" w:sz="0" w:space="0" w:color="auto"/>
        <w:right w:val="none" w:sz="0" w:space="0" w:color="auto"/>
      </w:divBdr>
    </w:div>
    <w:div w:id="1450200075">
      <w:bodyDiv w:val="1"/>
      <w:marLeft w:val="0"/>
      <w:marRight w:val="0"/>
      <w:marTop w:val="0"/>
      <w:marBottom w:val="0"/>
      <w:divBdr>
        <w:top w:val="none" w:sz="0" w:space="0" w:color="auto"/>
        <w:left w:val="none" w:sz="0" w:space="0" w:color="auto"/>
        <w:bottom w:val="none" w:sz="0" w:space="0" w:color="auto"/>
        <w:right w:val="none" w:sz="0" w:space="0" w:color="auto"/>
      </w:divBdr>
    </w:div>
    <w:div w:id="1509364908">
      <w:bodyDiv w:val="1"/>
      <w:marLeft w:val="0"/>
      <w:marRight w:val="0"/>
      <w:marTop w:val="0"/>
      <w:marBottom w:val="0"/>
      <w:divBdr>
        <w:top w:val="none" w:sz="0" w:space="0" w:color="auto"/>
        <w:left w:val="none" w:sz="0" w:space="0" w:color="auto"/>
        <w:bottom w:val="none" w:sz="0" w:space="0" w:color="auto"/>
        <w:right w:val="none" w:sz="0" w:space="0" w:color="auto"/>
      </w:divBdr>
    </w:div>
    <w:div w:id="1551646015">
      <w:bodyDiv w:val="1"/>
      <w:marLeft w:val="0"/>
      <w:marRight w:val="0"/>
      <w:marTop w:val="0"/>
      <w:marBottom w:val="0"/>
      <w:divBdr>
        <w:top w:val="none" w:sz="0" w:space="0" w:color="auto"/>
        <w:left w:val="none" w:sz="0" w:space="0" w:color="auto"/>
        <w:bottom w:val="none" w:sz="0" w:space="0" w:color="auto"/>
        <w:right w:val="none" w:sz="0" w:space="0" w:color="auto"/>
      </w:divBdr>
    </w:div>
    <w:div w:id="1580141275">
      <w:bodyDiv w:val="1"/>
      <w:marLeft w:val="0"/>
      <w:marRight w:val="0"/>
      <w:marTop w:val="0"/>
      <w:marBottom w:val="0"/>
      <w:divBdr>
        <w:top w:val="none" w:sz="0" w:space="0" w:color="auto"/>
        <w:left w:val="none" w:sz="0" w:space="0" w:color="auto"/>
        <w:bottom w:val="none" w:sz="0" w:space="0" w:color="auto"/>
        <w:right w:val="none" w:sz="0" w:space="0" w:color="auto"/>
      </w:divBdr>
    </w:div>
    <w:div w:id="1592935574">
      <w:bodyDiv w:val="1"/>
      <w:marLeft w:val="0"/>
      <w:marRight w:val="0"/>
      <w:marTop w:val="0"/>
      <w:marBottom w:val="0"/>
      <w:divBdr>
        <w:top w:val="none" w:sz="0" w:space="0" w:color="auto"/>
        <w:left w:val="none" w:sz="0" w:space="0" w:color="auto"/>
        <w:bottom w:val="none" w:sz="0" w:space="0" w:color="auto"/>
        <w:right w:val="none" w:sz="0" w:space="0" w:color="auto"/>
      </w:divBdr>
    </w:div>
    <w:div w:id="1626811976">
      <w:bodyDiv w:val="1"/>
      <w:marLeft w:val="0"/>
      <w:marRight w:val="0"/>
      <w:marTop w:val="0"/>
      <w:marBottom w:val="0"/>
      <w:divBdr>
        <w:top w:val="none" w:sz="0" w:space="0" w:color="auto"/>
        <w:left w:val="none" w:sz="0" w:space="0" w:color="auto"/>
        <w:bottom w:val="none" w:sz="0" w:space="0" w:color="auto"/>
        <w:right w:val="none" w:sz="0" w:space="0" w:color="auto"/>
      </w:divBdr>
    </w:div>
    <w:div w:id="1662200870">
      <w:bodyDiv w:val="1"/>
      <w:marLeft w:val="0"/>
      <w:marRight w:val="0"/>
      <w:marTop w:val="0"/>
      <w:marBottom w:val="0"/>
      <w:divBdr>
        <w:top w:val="none" w:sz="0" w:space="0" w:color="auto"/>
        <w:left w:val="none" w:sz="0" w:space="0" w:color="auto"/>
        <w:bottom w:val="none" w:sz="0" w:space="0" w:color="auto"/>
        <w:right w:val="none" w:sz="0" w:space="0" w:color="auto"/>
      </w:divBdr>
    </w:div>
    <w:div w:id="1741052031">
      <w:bodyDiv w:val="1"/>
      <w:marLeft w:val="0"/>
      <w:marRight w:val="0"/>
      <w:marTop w:val="0"/>
      <w:marBottom w:val="0"/>
      <w:divBdr>
        <w:top w:val="none" w:sz="0" w:space="0" w:color="auto"/>
        <w:left w:val="none" w:sz="0" w:space="0" w:color="auto"/>
        <w:bottom w:val="none" w:sz="0" w:space="0" w:color="auto"/>
        <w:right w:val="none" w:sz="0" w:space="0" w:color="auto"/>
      </w:divBdr>
    </w:div>
    <w:div w:id="1774742321">
      <w:bodyDiv w:val="1"/>
      <w:marLeft w:val="0"/>
      <w:marRight w:val="0"/>
      <w:marTop w:val="0"/>
      <w:marBottom w:val="0"/>
      <w:divBdr>
        <w:top w:val="none" w:sz="0" w:space="0" w:color="auto"/>
        <w:left w:val="none" w:sz="0" w:space="0" w:color="auto"/>
        <w:bottom w:val="none" w:sz="0" w:space="0" w:color="auto"/>
        <w:right w:val="none" w:sz="0" w:space="0" w:color="auto"/>
      </w:divBdr>
    </w:div>
    <w:div w:id="1812670076">
      <w:bodyDiv w:val="1"/>
      <w:marLeft w:val="0"/>
      <w:marRight w:val="0"/>
      <w:marTop w:val="0"/>
      <w:marBottom w:val="0"/>
      <w:divBdr>
        <w:top w:val="none" w:sz="0" w:space="0" w:color="auto"/>
        <w:left w:val="none" w:sz="0" w:space="0" w:color="auto"/>
        <w:bottom w:val="none" w:sz="0" w:space="0" w:color="auto"/>
        <w:right w:val="none" w:sz="0" w:space="0" w:color="auto"/>
      </w:divBdr>
    </w:div>
    <w:div w:id="1817454234">
      <w:bodyDiv w:val="1"/>
      <w:marLeft w:val="0"/>
      <w:marRight w:val="0"/>
      <w:marTop w:val="0"/>
      <w:marBottom w:val="0"/>
      <w:divBdr>
        <w:top w:val="none" w:sz="0" w:space="0" w:color="auto"/>
        <w:left w:val="none" w:sz="0" w:space="0" w:color="auto"/>
        <w:bottom w:val="none" w:sz="0" w:space="0" w:color="auto"/>
        <w:right w:val="none" w:sz="0" w:space="0" w:color="auto"/>
      </w:divBdr>
      <w:divsChild>
        <w:div w:id="1361660710">
          <w:marLeft w:val="0"/>
          <w:marRight w:val="0"/>
          <w:marTop w:val="0"/>
          <w:marBottom w:val="0"/>
          <w:divBdr>
            <w:top w:val="none" w:sz="0" w:space="0" w:color="auto"/>
            <w:left w:val="none" w:sz="0" w:space="0" w:color="auto"/>
            <w:bottom w:val="none" w:sz="0" w:space="0" w:color="auto"/>
            <w:right w:val="none" w:sz="0" w:space="0" w:color="auto"/>
          </w:divBdr>
        </w:div>
        <w:div w:id="370038469">
          <w:marLeft w:val="0"/>
          <w:marRight w:val="0"/>
          <w:marTop w:val="375"/>
          <w:marBottom w:val="0"/>
          <w:divBdr>
            <w:top w:val="none" w:sz="0" w:space="0" w:color="auto"/>
            <w:left w:val="none" w:sz="0" w:space="0" w:color="auto"/>
            <w:bottom w:val="none" w:sz="0" w:space="0" w:color="auto"/>
            <w:right w:val="none" w:sz="0" w:space="0" w:color="auto"/>
          </w:divBdr>
          <w:divsChild>
            <w:div w:id="2122141438">
              <w:marLeft w:val="0"/>
              <w:marRight w:val="0"/>
              <w:marTop w:val="0"/>
              <w:marBottom w:val="0"/>
              <w:divBdr>
                <w:top w:val="none" w:sz="0" w:space="0" w:color="auto"/>
                <w:left w:val="none" w:sz="0" w:space="0" w:color="auto"/>
                <w:bottom w:val="none" w:sz="0" w:space="0" w:color="auto"/>
                <w:right w:val="none" w:sz="0" w:space="0" w:color="auto"/>
              </w:divBdr>
              <w:divsChild>
                <w:div w:id="471944704">
                  <w:marLeft w:val="0"/>
                  <w:marRight w:val="0"/>
                  <w:marTop w:val="0"/>
                  <w:marBottom w:val="0"/>
                  <w:divBdr>
                    <w:top w:val="none" w:sz="0" w:space="0" w:color="auto"/>
                    <w:left w:val="none" w:sz="0" w:space="0" w:color="auto"/>
                    <w:bottom w:val="none" w:sz="0" w:space="0" w:color="auto"/>
                    <w:right w:val="none" w:sz="0" w:space="0" w:color="auto"/>
                  </w:divBdr>
                  <w:divsChild>
                    <w:div w:id="4525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49031">
      <w:bodyDiv w:val="1"/>
      <w:marLeft w:val="0"/>
      <w:marRight w:val="0"/>
      <w:marTop w:val="0"/>
      <w:marBottom w:val="0"/>
      <w:divBdr>
        <w:top w:val="none" w:sz="0" w:space="0" w:color="auto"/>
        <w:left w:val="none" w:sz="0" w:space="0" w:color="auto"/>
        <w:bottom w:val="none" w:sz="0" w:space="0" w:color="auto"/>
        <w:right w:val="none" w:sz="0" w:space="0" w:color="auto"/>
      </w:divBdr>
    </w:div>
    <w:div w:id="1848250727">
      <w:bodyDiv w:val="1"/>
      <w:marLeft w:val="0"/>
      <w:marRight w:val="0"/>
      <w:marTop w:val="0"/>
      <w:marBottom w:val="0"/>
      <w:divBdr>
        <w:top w:val="none" w:sz="0" w:space="0" w:color="auto"/>
        <w:left w:val="none" w:sz="0" w:space="0" w:color="auto"/>
        <w:bottom w:val="none" w:sz="0" w:space="0" w:color="auto"/>
        <w:right w:val="none" w:sz="0" w:space="0" w:color="auto"/>
      </w:divBdr>
      <w:divsChild>
        <w:div w:id="575020360">
          <w:marLeft w:val="0"/>
          <w:marRight w:val="0"/>
          <w:marTop w:val="0"/>
          <w:marBottom w:val="0"/>
          <w:divBdr>
            <w:top w:val="none" w:sz="0" w:space="0" w:color="auto"/>
            <w:left w:val="none" w:sz="0" w:space="0" w:color="auto"/>
            <w:bottom w:val="none" w:sz="0" w:space="0" w:color="auto"/>
            <w:right w:val="none" w:sz="0" w:space="0" w:color="auto"/>
          </w:divBdr>
        </w:div>
      </w:divsChild>
    </w:div>
    <w:div w:id="1870869213">
      <w:bodyDiv w:val="1"/>
      <w:marLeft w:val="0"/>
      <w:marRight w:val="0"/>
      <w:marTop w:val="0"/>
      <w:marBottom w:val="0"/>
      <w:divBdr>
        <w:top w:val="none" w:sz="0" w:space="0" w:color="auto"/>
        <w:left w:val="none" w:sz="0" w:space="0" w:color="auto"/>
        <w:bottom w:val="none" w:sz="0" w:space="0" w:color="auto"/>
        <w:right w:val="none" w:sz="0" w:space="0" w:color="auto"/>
      </w:divBdr>
    </w:div>
    <w:div w:id="1888644761">
      <w:bodyDiv w:val="1"/>
      <w:marLeft w:val="0"/>
      <w:marRight w:val="0"/>
      <w:marTop w:val="0"/>
      <w:marBottom w:val="0"/>
      <w:divBdr>
        <w:top w:val="none" w:sz="0" w:space="0" w:color="auto"/>
        <w:left w:val="none" w:sz="0" w:space="0" w:color="auto"/>
        <w:bottom w:val="none" w:sz="0" w:space="0" w:color="auto"/>
        <w:right w:val="none" w:sz="0" w:space="0" w:color="auto"/>
      </w:divBdr>
    </w:div>
    <w:div w:id="1892882957">
      <w:bodyDiv w:val="1"/>
      <w:marLeft w:val="0"/>
      <w:marRight w:val="0"/>
      <w:marTop w:val="0"/>
      <w:marBottom w:val="0"/>
      <w:divBdr>
        <w:top w:val="none" w:sz="0" w:space="0" w:color="auto"/>
        <w:left w:val="none" w:sz="0" w:space="0" w:color="auto"/>
        <w:bottom w:val="none" w:sz="0" w:space="0" w:color="auto"/>
        <w:right w:val="none" w:sz="0" w:space="0" w:color="auto"/>
      </w:divBdr>
    </w:div>
    <w:div w:id="1991013311">
      <w:bodyDiv w:val="1"/>
      <w:marLeft w:val="0"/>
      <w:marRight w:val="0"/>
      <w:marTop w:val="0"/>
      <w:marBottom w:val="0"/>
      <w:divBdr>
        <w:top w:val="none" w:sz="0" w:space="0" w:color="auto"/>
        <w:left w:val="none" w:sz="0" w:space="0" w:color="auto"/>
        <w:bottom w:val="none" w:sz="0" w:space="0" w:color="auto"/>
        <w:right w:val="none" w:sz="0" w:space="0" w:color="auto"/>
      </w:divBdr>
    </w:div>
    <w:div w:id="2026663302">
      <w:bodyDiv w:val="1"/>
      <w:marLeft w:val="0"/>
      <w:marRight w:val="0"/>
      <w:marTop w:val="0"/>
      <w:marBottom w:val="0"/>
      <w:divBdr>
        <w:top w:val="none" w:sz="0" w:space="0" w:color="auto"/>
        <w:left w:val="none" w:sz="0" w:space="0" w:color="auto"/>
        <w:bottom w:val="none" w:sz="0" w:space="0" w:color="auto"/>
        <w:right w:val="none" w:sz="0" w:space="0" w:color="auto"/>
      </w:divBdr>
    </w:div>
    <w:div w:id="2079667035">
      <w:bodyDiv w:val="1"/>
      <w:marLeft w:val="0"/>
      <w:marRight w:val="0"/>
      <w:marTop w:val="0"/>
      <w:marBottom w:val="0"/>
      <w:divBdr>
        <w:top w:val="none" w:sz="0" w:space="0" w:color="auto"/>
        <w:left w:val="none" w:sz="0" w:space="0" w:color="auto"/>
        <w:bottom w:val="none" w:sz="0" w:space="0" w:color="auto"/>
        <w:right w:val="none" w:sz="0" w:space="0" w:color="auto"/>
      </w:divBdr>
    </w:div>
    <w:div w:id="2099401746">
      <w:bodyDiv w:val="1"/>
      <w:marLeft w:val="0"/>
      <w:marRight w:val="0"/>
      <w:marTop w:val="0"/>
      <w:marBottom w:val="0"/>
      <w:divBdr>
        <w:top w:val="none" w:sz="0" w:space="0" w:color="auto"/>
        <w:left w:val="none" w:sz="0" w:space="0" w:color="auto"/>
        <w:bottom w:val="none" w:sz="0" w:space="0" w:color="auto"/>
        <w:right w:val="none" w:sz="0" w:space="0" w:color="auto"/>
      </w:divBdr>
    </w:div>
    <w:div w:id="21433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CF43-FF1F-4187-AF68-BA1F2B46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20</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GWD</dc:creator>
  <cp:lastModifiedBy>Gary Derrick</cp:lastModifiedBy>
  <cp:revision>59</cp:revision>
  <cp:lastPrinted>2022-11-06T14:12:00Z</cp:lastPrinted>
  <dcterms:created xsi:type="dcterms:W3CDTF">2022-10-12T22:34:00Z</dcterms:created>
  <dcterms:modified xsi:type="dcterms:W3CDTF">2022-11-07T14:14:00Z</dcterms:modified>
</cp:coreProperties>
</file>