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5763" w14:textId="3D2A2A1F" w:rsidR="00331B18" w:rsidRPr="00E82FE8" w:rsidRDefault="00331B18" w:rsidP="00331B18">
      <w:pPr>
        <w:spacing w:before="0"/>
        <w:jc w:val="center"/>
        <w:rPr>
          <w:rFonts w:eastAsia="Times New Roman"/>
          <w:szCs w:val="24"/>
        </w:rPr>
      </w:pPr>
    </w:p>
    <w:p w14:paraId="5A32AC69" w14:textId="650D21DE" w:rsidR="00BE1520" w:rsidRPr="00E82FE8" w:rsidRDefault="00BE1520" w:rsidP="00331B18">
      <w:pPr>
        <w:spacing w:before="0"/>
        <w:jc w:val="center"/>
        <w:rPr>
          <w:rFonts w:eastAsia="Times New Roman"/>
          <w:szCs w:val="24"/>
        </w:rPr>
      </w:pPr>
    </w:p>
    <w:p w14:paraId="43D926CD" w14:textId="7CB2688D" w:rsidR="00BE1520" w:rsidRPr="00E82FE8" w:rsidRDefault="00BE1520" w:rsidP="00331B18">
      <w:pPr>
        <w:spacing w:before="0"/>
        <w:jc w:val="center"/>
        <w:rPr>
          <w:rFonts w:eastAsia="Times New Roman"/>
          <w:szCs w:val="24"/>
        </w:rPr>
      </w:pPr>
    </w:p>
    <w:p w14:paraId="6361E082" w14:textId="3CEEBBA9" w:rsidR="00BE1520" w:rsidRPr="00E82FE8" w:rsidRDefault="00BE1520" w:rsidP="00331B18">
      <w:pPr>
        <w:spacing w:before="0"/>
        <w:jc w:val="center"/>
        <w:rPr>
          <w:rFonts w:eastAsia="Times New Roman"/>
          <w:szCs w:val="24"/>
        </w:rPr>
      </w:pPr>
    </w:p>
    <w:p w14:paraId="2DA21378" w14:textId="3DD1AA9A" w:rsidR="00BE1520" w:rsidRPr="00E82FE8" w:rsidRDefault="00BE1520" w:rsidP="00331B18">
      <w:pPr>
        <w:spacing w:before="0"/>
        <w:jc w:val="center"/>
        <w:rPr>
          <w:rFonts w:eastAsia="Times New Roman"/>
          <w:szCs w:val="24"/>
        </w:rPr>
      </w:pPr>
    </w:p>
    <w:p w14:paraId="2F8A9EC7" w14:textId="73FA010C" w:rsidR="00BE1520" w:rsidRPr="00E82FE8" w:rsidRDefault="00BE1520" w:rsidP="00331B18">
      <w:pPr>
        <w:spacing w:before="0"/>
        <w:jc w:val="center"/>
        <w:rPr>
          <w:rFonts w:eastAsia="Times New Roman"/>
          <w:szCs w:val="24"/>
        </w:rPr>
      </w:pPr>
    </w:p>
    <w:p w14:paraId="59071182" w14:textId="7F3794A5" w:rsidR="00BE1520" w:rsidRPr="00E82FE8" w:rsidRDefault="00BE1520" w:rsidP="00331B18">
      <w:pPr>
        <w:spacing w:before="0"/>
        <w:jc w:val="center"/>
        <w:rPr>
          <w:rFonts w:eastAsia="Times New Roman"/>
          <w:szCs w:val="24"/>
        </w:rPr>
      </w:pPr>
    </w:p>
    <w:p w14:paraId="124E77C7" w14:textId="6755CE41" w:rsidR="00BE1520" w:rsidRPr="00E82FE8" w:rsidRDefault="00BE1520" w:rsidP="00331B18">
      <w:pPr>
        <w:spacing w:before="0"/>
        <w:jc w:val="center"/>
        <w:rPr>
          <w:rFonts w:eastAsia="Times New Roman"/>
          <w:szCs w:val="24"/>
        </w:rPr>
      </w:pPr>
    </w:p>
    <w:p w14:paraId="61D67FF5" w14:textId="7CF7CCDE" w:rsidR="00BE1520" w:rsidRPr="00E82FE8" w:rsidRDefault="00BE1520" w:rsidP="00331B18">
      <w:pPr>
        <w:spacing w:before="0"/>
        <w:jc w:val="center"/>
        <w:rPr>
          <w:rFonts w:eastAsia="Times New Roman"/>
          <w:szCs w:val="24"/>
        </w:rPr>
      </w:pPr>
    </w:p>
    <w:p w14:paraId="497B4BF2" w14:textId="77777777" w:rsidR="00BE1520" w:rsidRPr="00E82FE8" w:rsidRDefault="00BE1520" w:rsidP="00331B18">
      <w:pPr>
        <w:spacing w:before="0"/>
        <w:jc w:val="center"/>
        <w:rPr>
          <w:rFonts w:eastAsia="Times New Roman"/>
          <w:szCs w:val="24"/>
        </w:rPr>
      </w:pPr>
    </w:p>
    <w:p w14:paraId="4CDB3CA4" w14:textId="77777777"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t>recent DEVELOPMENTS in</w:t>
      </w:r>
    </w:p>
    <w:p w14:paraId="11B24AF4" w14:textId="30ECD04F"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t xml:space="preserve">OKLAHOMA business and corporate law </w:t>
      </w:r>
      <w:r w:rsidRPr="00E82FE8">
        <w:rPr>
          <w:rFonts w:ascii="Times New Roman Bold" w:eastAsia="Times New Roman" w:hAnsi="Times New Roman Bold" w:cs="Arial"/>
          <w:b/>
          <w:caps/>
          <w:spacing w:val="20"/>
          <w:kern w:val="32"/>
          <w:szCs w:val="32"/>
        </w:rPr>
        <w:noBreakHyphen/>
      </w:r>
      <w:r w:rsidR="00DF5F16" w:rsidRPr="00E82FE8">
        <w:rPr>
          <w:rFonts w:ascii="Times New Roman Bold" w:eastAsia="Times New Roman" w:hAnsi="Times New Roman Bold" w:cs="Arial"/>
          <w:b/>
          <w:caps/>
          <w:spacing w:val="20"/>
          <w:kern w:val="32"/>
          <w:szCs w:val="32"/>
        </w:rPr>
        <w:t xml:space="preserve"> </w:t>
      </w:r>
      <w:r w:rsidR="00DD56C6" w:rsidRPr="00E82FE8">
        <w:rPr>
          <w:rFonts w:ascii="Times New Roman Bold" w:eastAsia="Times New Roman" w:hAnsi="Times New Roman Bold" w:cs="Arial"/>
          <w:b/>
          <w:caps/>
          <w:spacing w:val="20"/>
          <w:kern w:val="32"/>
          <w:szCs w:val="32"/>
        </w:rPr>
        <w:t>2021</w:t>
      </w:r>
    </w:p>
    <w:p w14:paraId="7FF23147" w14:textId="77777777" w:rsidR="00331B18" w:rsidRPr="00E82FE8" w:rsidRDefault="00331B18" w:rsidP="00DD3E18">
      <w:pPr>
        <w:spacing w:before="0"/>
        <w:ind w:firstLine="0"/>
        <w:jc w:val="center"/>
        <w:rPr>
          <w:rFonts w:eastAsia="Times New Roman"/>
          <w:b/>
          <w:bCs/>
          <w:szCs w:val="24"/>
        </w:rPr>
      </w:pPr>
    </w:p>
    <w:p w14:paraId="09596B4E" w14:textId="77777777" w:rsidR="00331B18" w:rsidRPr="00E82FE8" w:rsidRDefault="00331B18" w:rsidP="00DD3E18">
      <w:pPr>
        <w:spacing w:before="0"/>
        <w:ind w:firstLine="0"/>
        <w:jc w:val="center"/>
        <w:rPr>
          <w:rFonts w:eastAsia="Times New Roman"/>
          <w:b/>
          <w:bCs/>
          <w:szCs w:val="24"/>
        </w:rPr>
      </w:pPr>
    </w:p>
    <w:p w14:paraId="46764236" w14:textId="77777777" w:rsidR="00331B18" w:rsidRPr="00E82FE8" w:rsidRDefault="00331B18" w:rsidP="00DD3E18">
      <w:pPr>
        <w:spacing w:before="0"/>
        <w:ind w:firstLine="0"/>
        <w:jc w:val="center"/>
        <w:rPr>
          <w:rFonts w:eastAsia="Times New Roman"/>
          <w:szCs w:val="24"/>
        </w:rPr>
      </w:pPr>
    </w:p>
    <w:p w14:paraId="41D6F845" w14:textId="77777777" w:rsidR="00331B18" w:rsidRPr="00E82FE8" w:rsidRDefault="00331B18" w:rsidP="00DD3E18">
      <w:pPr>
        <w:spacing w:before="0"/>
        <w:ind w:firstLine="0"/>
        <w:jc w:val="center"/>
        <w:rPr>
          <w:rFonts w:eastAsia="Times New Roman"/>
          <w:szCs w:val="24"/>
        </w:rPr>
      </w:pPr>
    </w:p>
    <w:p w14:paraId="6EFF430F" w14:textId="77777777" w:rsidR="00331B18" w:rsidRPr="00E82FE8" w:rsidRDefault="00331B18" w:rsidP="00DD3E18">
      <w:pPr>
        <w:spacing w:before="0"/>
        <w:ind w:firstLine="0"/>
        <w:jc w:val="center"/>
        <w:rPr>
          <w:rFonts w:eastAsia="Times New Roman"/>
          <w:szCs w:val="24"/>
        </w:rPr>
      </w:pPr>
    </w:p>
    <w:p w14:paraId="51BC880A" w14:textId="77777777" w:rsidR="00331B18" w:rsidRPr="00E82FE8" w:rsidRDefault="00331B18" w:rsidP="00DD3E18">
      <w:pPr>
        <w:spacing w:before="240" w:after="240"/>
        <w:ind w:firstLine="0"/>
        <w:jc w:val="center"/>
        <w:rPr>
          <w:rFonts w:eastAsia="Times New Roman"/>
          <w:szCs w:val="24"/>
        </w:rPr>
      </w:pPr>
    </w:p>
    <w:p w14:paraId="48BBCF8F" w14:textId="77777777" w:rsidR="00331B18" w:rsidRPr="00E82FE8" w:rsidRDefault="00331B18" w:rsidP="00DD3E18">
      <w:pPr>
        <w:spacing w:before="0"/>
        <w:ind w:firstLine="0"/>
        <w:jc w:val="center"/>
        <w:rPr>
          <w:rFonts w:eastAsia="Times New Roman"/>
          <w:szCs w:val="24"/>
        </w:rPr>
      </w:pPr>
      <w:r w:rsidRPr="00E82FE8">
        <w:rPr>
          <w:rFonts w:eastAsia="Times New Roman"/>
          <w:szCs w:val="24"/>
        </w:rPr>
        <w:t>Gary W. Derrick</w:t>
      </w:r>
    </w:p>
    <w:p w14:paraId="68167850" w14:textId="77777777" w:rsidR="00331B18" w:rsidRPr="00E82FE8" w:rsidRDefault="00331B18" w:rsidP="00DD3E18">
      <w:pPr>
        <w:spacing w:before="0"/>
        <w:ind w:firstLine="0"/>
        <w:jc w:val="center"/>
        <w:rPr>
          <w:rFonts w:eastAsia="Times New Roman"/>
          <w:szCs w:val="24"/>
        </w:rPr>
      </w:pPr>
      <w:r w:rsidRPr="00E82FE8">
        <w:rPr>
          <w:rFonts w:eastAsia="Times New Roman"/>
          <w:szCs w:val="24"/>
        </w:rPr>
        <w:t>Derrick &amp; Briggs, LLP</w:t>
      </w:r>
    </w:p>
    <w:p w14:paraId="41128D53" w14:textId="77777777" w:rsidR="00331B18" w:rsidRPr="00E82FE8" w:rsidRDefault="00331B18" w:rsidP="00DD3E18">
      <w:pPr>
        <w:spacing w:before="0"/>
        <w:ind w:firstLine="0"/>
        <w:jc w:val="center"/>
        <w:rPr>
          <w:rFonts w:eastAsia="Times New Roman"/>
          <w:szCs w:val="24"/>
        </w:rPr>
      </w:pPr>
    </w:p>
    <w:p w14:paraId="7FC47114" w14:textId="77777777" w:rsidR="00331B18" w:rsidRPr="00E82FE8" w:rsidRDefault="00331B18" w:rsidP="00DD3E18">
      <w:pPr>
        <w:spacing w:before="0"/>
        <w:ind w:firstLine="0"/>
        <w:jc w:val="center"/>
        <w:rPr>
          <w:rFonts w:eastAsia="Times New Roman"/>
          <w:szCs w:val="24"/>
        </w:rPr>
      </w:pPr>
    </w:p>
    <w:p w14:paraId="2E331ADB" w14:textId="77777777" w:rsidR="00331B18" w:rsidRPr="00E82FE8" w:rsidRDefault="00331B18" w:rsidP="00DD3E18">
      <w:pPr>
        <w:spacing w:before="0"/>
        <w:ind w:firstLine="0"/>
        <w:jc w:val="center"/>
        <w:rPr>
          <w:rFonts w:eastAsia="Times New Roman"/>
          <w:szCs w:val="24"/>
        </w:rPr>
      </w:pPr>
    </w:p>
    <w:p w14:paraId="799A1082" w14:textId="77777777" w:rsidR="00331B18" w:rsidRPr="00E82FE8" w:rsidRDefault="00331B18" w:rsidP="00DD3E18">
      <w:pPr>
        <w:ind w:firstLine="0"/>
        <w:jc w:val="right"/>
        <w:rPr>
          <w:rFonts w:eastAsia="Times New Roman"/>
          <w:szCs w:val="24"/>
        </w:rPr>
      </w:pPr>
    </w:p>
    <w:p w14:paraId="267839F9" w14:textId="77777777" w:rsidR="00331B18" w:rsidRPr="00E82FE8" w:rsidRDefault="00331B18" w:rsidP="00DD3E18">
      <w:pPr>
        <w:ind w:firstLine="0"/>
        <w:rPr>
          <w:rFonts w:eastAsia="Times New Roman"/>
          <w:szCs w:val="24"/>
        </w:rPr>
        <w:sectPr w:rsidR="00331B18" w:rsidRPr="00E82FE8" w:rsidSect="0001497D">
          <w:footerReference w:type="even" r:id="rId8"/>
          <w:footerReference w:type="default" r:id="rId9"/>
          <w:footerReference w:type="first" r:id="rId10"/>
          <w:pgSz w:w="12240" w:h="15840" w:code="1"/>
          <w:pgMar w:top="1440" w:right="1440" w:bottom="1440" w:left="1440" w:header="720" w:footer="720" w:gutter="0"/>
          <w:paperSrc w:first="11"/>
          <w:pgNumType w:start="2"/>
          <w:cols w:space="720"/>
          <w:titlePg/>
          <w:docGrid w:linePitch="326"/>
        </w:sectPr>
      </w:pPr>
    </w:p>
    <w:p w14:paraId="6D54CAEA" w14:textId="3D43BA06"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lastRenderedPageBreak/>
        <w:t xml:space="preserve">recent DEVELOPMENTS in </w:t>
      </w:r>
      <w:r w:rsidRPr="00E82FE8">
        <w:rPr>
          <w:rFonts w:ascii="Times New Roman Bold" w:eastAsia="Times New Roman" w:hAnsi="Times New Roman Bold" w:cs="Arial"/>
          <w:b/>
          <w:caps/>
          <w:spacing w:val="20"/>
          <w:kern w:val="32"/>
          <w:szCs w:val="32"/>
        </w:rPr>
        <w:br/>
        <w:t xml:space="preserve">OKLAHOMA business and corporate law </w:t>
      </w:r>
      <w:r w:rsidRPr="00E82FE8">
        <w:rPr>
          <w:rFonts w:ascii="Times New Roman Bold" w:eastAsia="Times New Roman" w:hAnsi="Times New Roman Bold" w:cs="Arial"/>
          <w:b/>
          <w:caps/>
          <w:spacing w:val="20"/>
          <w:kern w:val="32"/>
          <w:szCs w:val="32"/>
        </w:rPr>
        <w:noBreakHyphen/>
      </w:r>
      <w:r w:rsidR="00DF5F16" w:rsidRPr="00E82FE8">
        <w:rPr>
          <w:rFonts w:ascii="Times New Roman Bold" w:eastAsia="Times New Roman" w:hAnsi="Times New Roman Bold" w:cs="Arial"/>
          <w:b/>
          <w:caps/>
          <w:spacing w:val="20"/>
          <w:kern w:val="32"/>
          <w:szCs w:val="32"/>
        </w:rPr>
        <w:t xml:space="preserve"> </w:t>
      </w:r>
      <w:r w:rsidR="00DD56C6" w:rsidRPr="00E82FE8">
        <w:rPr>
          <w:rFonts w:ascii="Times New Roman Bold" w:eastAsia="Times New Roman" w:hAnsi="Times New Roman Bold" w:cs="Arial"/>
          <w:b/>
          <w:caps/>
          <w:spacing w:val="20"/>
          <w:kern w:val="32"/>
          <w:szCs w:val="32"/>
        </w:rPr>
        <w:t>2021</w:t>
      </w:r>
    </w:p>
    <w:p w14:paraId="68F95B75" w14:textId="77777777" w:rsidR="00331B18" w:rsidRPr="00E82FE8" w:rsidRDefault="00331B18" w:rsidP="00667787">
      <w:pPr>
        <w:pStyle w:val="Heading3"/>
        <w:rPr>
          <w:rFonts w:eastAsia="Times New Roman"/>
        </w:rPr>
      </w:pPr>
      <w:r w:rsidRPr="00E82FE8">
        <w:rPr>
          <w:rFonts w:eastAsia="Times New Roman"/>
        </w:rPr>
        <w:t>Introduction</w:t>
      </w:r>
      <w:r w:rsidR="00B63E36" w:rsidRPr="00E82FE8">
        <w:rPr>
          <w:rFonts w:eastAsia="Times New Roman"/>
        </w:rPr>
        <w:t xml:space="preserve"> </w:t>
      </w:r>
    </w:p>
    <w:p w14:paraId="517EA285" w14:textId="77777777" w:rsidR="00090872" w:rsidRDefault="007F4886" w:rsidP="00526D2D">
      <w:pPr>
        <w:overflowPunct w:val="0"/>
        <w:textAlignment w:val="baseline"/>
      </w:pPr>
      <w:r w:rsidRPr="00E82FE8">
        <w:rPr>
          <w:rFonts w:eastAsia="Times New Roman"/>
        </w:rPr>
        <w:t xml:space="preserve">As we meet </w:t>
      </w:r>
      <w:r w:rsidR="00526D2D" w:rsidRPr="00E82FE8">
        <w:rPr>
          <w:rFonts w:eastAsia="Times New Roman"/>
        </w:rPr>
        <w:t xml:space="preserve">for this subject, we </w:t>
      </w:r>
      <w:r w:rsidRPr="00E82FE8">
        <w:rPr>
          <w:rFonts w:eastAsia="Times New Roman"/>
        </w:rPr>
        <w:t xml:space="preserve">are gradually recovering from </w:t>
      </w:r>
      <w:r w:rsidR="00AB1BBB" w:rsidRPr="00E82FE8">
        <w:t xml:space="preserve">the </w:t>
      </w:r>
      <w:r w:rsidR="00AB1BBB" w:rsidRPr="00E82FE8">
        <w:rPr>
          <w:rFonts w:eastAsia="Times New Roman"/>
        </w:rPr>
        <w:t>COVID-19 pandem</w:t>
      </w:r>
      <w:r w:rsidR="00AB1BBB" w:rsidRPr="00E82FE8">
        <w:t xml:space="preserve">ic: </w:t>
      </w:r>
      <w:r w:rsidR="00AB1BBB" w:rsidRPr="00E82FE8">
        <w:rPr>
          <w:rFonts w:eastAsia="Times New Roman"/>
        </w:rPr>
        <w:t xml:space="preserve"> </w:t>
      </w:r>
      <w:r w:rsidRPr="00E82FE8">
        <w:rPr>
          <w:rFonts w:eastAsia="Times New Roman"/>
        </w:rPr>
        <w:t xml:space="preserve">the most profound </w:t>
      </w:r>
      <w:r w:rsidRPr="00E82FE8">
        <w:t xml:space="preserve">public health crisis in our lives.  </w:t>
      </w:r>
      <w:r w:rsidR="0042660C" w:rsidRPr="00E82FE8">
        <w:t xml:space="preserve">The pandemic also stretched the domestic and worldwide economies in unprecedent ways.  </w:t>
      </w:r>
      <w:r w:rsidRPr="00E82FE8">
        <w:t xml:space="preserve">According to </w:t>
      </w:r>
      <w:r w:rsidR="00AB1BBB" w:rsidRPr="00E82FE8">
        <w:rPr>
          <w:szCs w:val="24"/>
        </w:rPr>
        <w:t xml:space="preserve">the </w:t>
      </w:r>
      <w:r w:rsidR="005727B9" w:rsidRPr="00E82FE8">
        <w:rPr>
          <w:szCs w:val="24"/>
        </w:rPr>
        <w:t xml:space="preserve">U.S. </w:t>
      </w:r>
      <w:r w:rsidR="007619D5" w:rsidRPr="00E82FE8">
        <w:rPr>
          <w:szCs w:val="24"/>
        </w:rPr>
        <w:t>Bureau of Economic Analysis</w:t>
      </w:r>
      <w:r w:rsidRPr="00E82FE8">
        <w:rPr>
          <w:szCs w:val="24"/>
        </w:rPr>
        <w:t>, the pandem</w:t>
      </w:r>
      <w:r w:rsidRPr="00E82FE8">
        <w:t>ic shr</w:t>
      </w:r>
      <w:r w:rsidR="007619D5" w:rsidRPr="00E82FE8">
        <w:t>a</w:t>
      </w:r>
      <w:r w:rsidRPr="00E82FE8">
        <w:t xml:space="preserve">nk </w:t>
      </w:r>
      <w:r w:rsidR="007619D5" w:rsidRPr="00E82FE8">
        <w:t>the U.S economy at a</w:t>
      </w:r>
      <w:r w:rsidR="00AD6047" w:rsidRPr="00E82FE8">
        <w:t>n</w:t>
      </w:r>
      <w:r w:rsidR="007619D5" w:rsidRPr="00E82FE8">
        <w:t xml:space="preserve"> average annualized rate of </w:t>
      </w:r>
      <w:r w:rsidR="00C271F0" w:rsidRPr="00E82FE8">
        <w:t>32.9</w:t>
      </w:r>
      <w:r w:rsidR="007619D5" w:rsidRPr="00E82FE8">
        <w:t xml:space="preserve">% </w:t>
      </w:r>
      <w:r w:rsidR="00C271F0" w:rsidRPr="00E82FE8">
        <w:t xml:space="preserve">in </w:t>
      </w:r>
      <w:r w:rsidR="007619D5" w:rsidRPr="00E82FE8">
        <w:t>second quarter 2020</w:t>
      </w:r>
      <w:r w:rsidR="00AD6047" w:rsidRPr="00E82FE8">
        <w:t>, which was the largest quarterly decline in U.S. GDP recorded over the past 70 years</w:t>
      </w:r>
      <w:r w:rsidR="007619D5" w:rsidRPr="00E82FE8">
        <w:t>.</w:t>
      </w:r>
      <w:r w:rsidR="00AB1BBB" w:rsidRPr="00E82FE8">
        <w:rPr>
          <w:rStyle w:val="FootnoteReference"/>
        </w:rPr>
        <w:footnoteReference w:id="1"/>
      </w:r>
      <w:r w:rsidR="007619D5" w:rsidRPr="00E82FE8">
        <w:t xml:space="preserve">  The mandatory shutdowns in the first quarter 2020 threw a record 22.36 million people out of work.</w:t>
      </w:r>
      <w:r w:rsidR="00137533" w:rsidRPr="00E82FE8">
        <w:rPr>
          <w:rStyle w:val="FootnoteReference"/>
        </w:rPr>
        <w:footnoteReference w:id="2"/>
      </w:r>
      <w:r w:rsidR="007619D5" w:rsidRPr="00E82FE8">
        <w:t xml:space="preserve">  </w:t>
      </w:r>
      <w:r w:rsidR="00673528" w:rsidRPr="00E82FE8">
        <w:t>The employment of 25- to 54-year-olds in the U.S. workforce fell below 70% for the first time in nearly 50 years.</w:t>
      </w:r>
      <w:r w:rsidR="00840560" w:rsidRPr="00E82FE8">
        <w:rPr>
          <w:rStyle w:val="FootnoteReference"/>
        </w:rPr>
        <w:footnoteReference w:id="3"/>
      </w:r>
      <w:r w:rsidR="00673528" w:rsidRPr="00E82FE8">
        <w:t xml:space="preserve">  </w:t>
      </w:r>
      <w:r w:rsidR="00AB1BBB" w:rsidRPr="00E82FE8">
        <w:t xml:space="preserve">Approximately </w:t>
      </w:r>
      <w:r w:rsidR="00840560" w:rsidRPr="00E82FE8">
        <w:t>743</w:t>
      </w:r>
      <w:r w:rsidR="00AB1BBB" w:rsidRPr="00E82FE8">
        <w:t>,000 people have died from the disease</w:t>
      </w:r>
      <w:r w:rsidR="00840560" w:rsidRPr="00E82FE8">
        <w:t xml:space="preserve"> in the U.S.</w:t>
      </w:r>
      <w:r w:rsidR="00923B7E" w:rsidRPr="00E82FE8">
        <w:rPr>
          <w:rStyle w:val="FootnoteReference"/>
        </w:rPr>
        <w:footnoteReference w:id="4"/>
      </w:r>
    </w:p>
    <w:p w14:paraId="2E397892" w14:textId="77777777" w:rsidR="00090872" w:rsidRDefault="00D25173" w:rsidP="00526D2D">
      <w:pPr>
        <w:overflowPunct w:val="0"/>
        <w:textAlignment w:val="baseline"/>
      </w:pPr>
      <w:r w:rsidRPr="00E82FE8">
        <w:t>The U.S. experience largely mirror</w:t>
      </w:r>
      <w:r w:rsidR="003A769D" w:rsidRPr="00E82FE8">
        <w:t>ed</w:t>
      </w:r>
      <w:r w:rsidRPr="00E82FE8">
        <w:t xml:space="preserve"> global outcomes.  </w:t>
      </w:r>
      <w:r w:rsidR="00E62DF8" w:rsidRPr="00E82FE8">
        <w:t xml:space="preserve">According to </w:t>
      </w:r>
      <w:r w:rsidR="002905A0" w:rsidRPr="00E82FE8">
        <w:t xml:space="preserve">the </w:t>
      </w:r>
      <w:r w:rsidR="00E62DF8" w:rsidRPr="00E82FE8">
        <w:t xml:space="preserve">International Monetary Fund, the </w:t>
      </w:r>
      <w:r w:rsidR="00A50015" w:rsidRPr="00E82FE8">
        <w:t xml:space="preserve">global economy </w:t>
      </w:r>
      <w:r w:rsidR="00E62DF8" w:rsidRPr="00E82FE8">
        <w:t>contract</w:t>
      </w:r>
      <w:r w:rsidR="00673528" w:rsidRPr="00E82FE8">
        <w:t>ed</w:t>
      </w:r>
      <w:r w:rsidR="00E62DF8" w:rsidRPr="00E82FE8">
        <w:t xml:space="preserve"> 3.</w:t>
      </w:r>
      <w:r w:rsidR="00181DF5" w:rsidRPr="00E82FE8">
        <w:t>1</w:t>
      </w:r>
      <w:r w:rsidR="00E62DF8" w:rsidRPr="00E82FE8">
        <w:t>% in 2020</w:t>
      </w:r>
      <w:r w:rsidR="00181DF5" w:rsidRPr="00E82FE8">
        <w:t>, which is a 7.0% loss relative to the forecasted 3.4% growth</w:t>
      </w:r>
      <w:r w:rsidR="00E62DF8" w:rsidRPr="00E82FE8">
        <w:t xml:space="preserve">. </w:t>
      </w:r>
      <w:r w:rsidR="00181DF5" w:rsidRPr="00E82FE8">
        <w:t xml:space="preserve"> </w:t>
      </w:r>
      <w:r w:rsidR="007F4886" w:rsidRPr="00E82FE8">
        <w:t xml:space="preserve">That </w:t>
      </w:r>
      <w:r w:rsidR="00C212A8" w:rsidRPr="00E82FE8">
        <w:t xml:space="preserve">contraction </w:t>
      </w:r>
      <w:r w:rsidR="00181DF5" w:rsidRPr="00E82FE8">
        <w:t xml:space="preserve">is </w:t>
      </w:r>
      <w:r w:rsidR="007F4886" w:rsidRPr="00E82FE8">
        <w:t xml:space="preserve">the </w:t>
      </w:r>
      <w:r w:rsidR="00C212A8" w:rsidRPr="00E82FE8">
        <w:t>largest</w:t>
      </w:r>
      <w:r w:rsidR="007F4886" w:rsidRPr="00E82FE8">
        <w:t xml:space="preserve"> since World War II.</w:t>
      </w:r>
      <w:r w:rsidR="007F4886" w:rsidRPr="00E82FE8">
        <w:rPr>
          <w:rStyle w:val="FootnoteReference"/>
        </w:rPr>
        <w:footnoteReference w:id="5"/>
      </w:r>
      <w:r w:rsidR="007F4886" w:rsidRPr="00E82FE8">
        <w:t xml:space="preserve">  In contrast, the g</w:t>
      </w:r>
      <w:r w:rsidR="00C212A8" w:rsidRPr="00E82FE8">
        <w:t xml:space="preserve">reat recession </w:t>
      </w:r>
      <w:r w:rsidR="007F4886" w:rsidRPr="00E82FE8">
        <w:t xml:space="preserve">in </w:t>
      </w:r>
      <w:r w:rsidR="00C212A8" w:rsidRPr="00E82FE8">
        <w:t>2008</w:t>
      </w:r>
      <w:r w:rsidR="0042660C" w:rsidRPr="00E82FE8">
        <w:t xml:space="preserve"> and </w:t>
      </w:r>
      <w:r w:rsidR="007F4886" w:rsidRPr="00E82FE8">
        <w:t>2009 shrank the world economy by just 0.1%.</w:t>
      </w:r>
    </w:p>
    <w:p w14:paraId="7BE860E7" w14:textId="022DB305" w:rsidR="00090872" w:rsidRDefault="003A769D" w:rsidP="003A769D">
      <w:r w:rsidRPr="00E82FE8">
        <w:t>Fortunately, with substantial government fiscal support, the U.S. is recovering relatively well.</w:t>
      </w:r>
      <w:r w:rsidRPr="00E82FE8">
        <w:rPr>
          <w:rStyle w:val="FootnoteReference"/>
        </w:rPr>
        <w:footnoteReference w:id="6"/>
      </w:r>
      <w:r w:rsidRPr="00E82FE8">
        <w:t xml:space="preserve">  The Bureau of Economic Analysis said </w:t>
      </w:r>
      <w:r w:rsidR="00C212A8" w:rsidRPr="00E82FE8">
        <w:t>GDP</w:t>
      </w:r>
      <w:r w:rsidRPr="00E82FE8">
        <w:t xml:space="preserve"> rebounded at a historic average rate of 18.3% between the second and fourth quarter of 2020.  As of August 2021, the </w:t>
      </w:r>
      <w:r w:rsidR="00D151C0" w:rsidRPr="00E82FE8">
        <w:t xml:space="preserve">U.S. </w:t>
      </w:r>
      <w:r w:rsidR="00AB1BBB" w:rsidRPr="00E82FE8">
        <w:t>unemployment</w:t>
      </w:r>
      <w:r w:rsidRPr="00E82FE8">
        <w:t xml:space="preserve"> rate was 5.4%.</w:t>
      </w:r>
      <w:r w:rsidRPr="00E82FE8">
        <w:rPr>
          <w:rStyle w:val="FootnoteReference"/>
        </w:rPr>
        <w:footnoteReference w:id="7"/>
      </w:r>
      <w:r w:rsidRPr="00E82FE8">
        <w:t xml:space="preserve">  </w:t>
      </w:r>
      <w:r w:rsidR="00673528" w:rsidRPr="00E82FE8">
        <w:t xml:space="preserve">The global economy is projected to grow 5.9% in 2021 and 4.9% in 2022 after </w:t>
      </w:r>
      <w:r w:rsidR="00C212A8" w:rsidRPr="00E82FE8">
        <w:t xml:space="preserve">the 3.1% </w:t>
      </w:r>
      <w:r w:rsidR="00673528" w:rsidRPr="00E82FE8">
        <w:t>contraction in 2020.</w:t>
      </w:r>
      <w:r w:rsidR="00673528" w:rsidRPr="00E82FE8">
        <w:rPr>
          <w:rStyle w:val="FootnoteReference"/>
        </w:rPr>
        <w:footnoteReference w:id="8"/>
      </w:r>
    </w:p>
    <w:p w14:paraId="7EF134DC" w14:textId="1FA0EE72" w:rsidR="006463C4" w:rsidRPr="00E82FE8" w:rsidRDefault="003A769D" w:rsidP="006463C4">
      <w:pPr>
        <w:rPr>
          <w:shd w:val="clear" w:color="auto" w:fill="FAFAFA"/>
        </w:rPr>
      </w:pPr>
      <w:r w:rsidRPr="00E82FE8">
        <w:t xml:space="preserve">That said, the pandemic has reshaped our lives in many ways.  </w:t>
      </w:r>
      <w:r w:rsidR="00904A36" w:rsidRPr="00E82FE8">
        <w:t xml:space="preserve">It </w:t>
      </w:r>
      <w:r w:rsidR="00CF6735" w:rsidRPr="00E82FE8">
        <w:rPr>
          <w:shd w:val="clear" w:color="auto" w:fill="FAFAFA"/>
        </w:rPr>
        <w:t>evoked a consensus need for governmental response</w:t>
      </w:r>
      <w:r w:rsidR="00904A36" w:rsidRPr="00E82FE8">
        <w:rPr>
          <w:shd w:val="clear" w:color="auto" w:fill="FAFAFA"/>
        </w:rPr>
        <w:t>.</w:t>
      </w:r>
      <w:r w:rsidR="00E62DF8" w:rsidRPr="00E82FE8">
        <w:rPr>
          <w:rStyle w:val="FootnoteReference"/>
          <w:shd w:val="clear" w:color="auto" w:fill="FAFAFA"/>
        </w:rPr>
        <w:footnoteReference w:id="9"/>
      </w:r>
      <w:r w:rsidR="00CF6735" w:rsidRPr="00E82FE8">
        <w:rPr>
          <w:shd w:val="clear" w:color="auto" w:fill="FAFAFA"/>
        </w:rPr>
        <w:t xml:space="preserve">  </w:t>
      </w:r>
      <w:r w:rsidR="000721C9" w:rsidRPr="00E82FE8">
        <w:rPr>
          <w:shd w:val="clear" w:color="auto" w:fill="FAFAFA"/>
        </w:rPr>
        <w:t xml:space="preserve">The breadth of the response is shown in the numbers.  </w:t>
      </w:r>
      <w:r w:rsidR="000721C9" w:rsidRPr="00E82FE8">
        <w:t>Global health and fiscal support in 2020 were estimated at nearly $16 trillion or about 15% of global GDP.</w:t>
      </w:r>
      <w:r w:rsidR="00D95341" w:rsidRPr="00E82FE8">
        <w:rPr>
          <w:rStyle w:val="FootnoteReference"/>
        </w:rPr>
        <w:footnoteReference w:id="10"/>
      </w:r>
      <w:r w:rsidR="000721C9" w:rsidRPr="00E82FE8">
        <w:t xml:space="preserve">  </w:t>
      </w:r>
      <w:r w:rsidR="00904A36" w:rsidRPr="00E82FE8">
        <w:t xml:space="preserve">Its </w:t>
      </w:r>
      <w:r w:rsidR="00904A36" w:rsidRPr="00E82FE8">
        <w:rPr>
          <w:shd w:val="clear" w:color="auto" w:fill="FAFAFA"/>
        </w:rPr>
        <w:t>impacts will have medium and long-term effects on the world and U.S. economy as well as social and political effects.</w:t>
      </w:r>
      <w:r w:rsidR="00904A36" w:rsidRPr="00E82FE8">
        <w:rPr>
          <w:rStyle w:val="FootnoteReference"/>
          <w:shd w:val="clear" w:color="auto" w:fill="FAFAFA"/>
        </w:rPr>
        <w:footnoteReference w:id="11"/>
      </w:r>
      <w:r w:rsidR="00904A36" w:rsidRPr="00E82FE8">
        <w:rPr>
          <w:shd w:val="clear" w:color="auto" w:fill="FAFAFA"/>
        </w:rPr>
        <w:t xml:space="preserve">  </w:t>
      </w:r>
      <w:r w:rsidR="00997037" w:rsidRPr="00E82FE8">
        <w:t>T</w:t>
      </w:r>
      <w:r w:rsidR="000721C9" w:rsidRPr="00E82FE8">
        <w:t>he pandemic ha</w:t>
      </w:r>
      <w:r w:rsidR="00904A36" w:rsidRPr="00E82FE8">
        <w:t>s</w:t>
      </w:r>
      <w:r w:rsidR="000721C9" w:rsidRPr="00E82FE8">
        <w:t xml:space="preserve"> reshaped many areas of our lives</w:t>
      </w:r>
      <w:r w:rsidR="00997037" w:rsidRPr="00E82FE8">
        <w:t xml:space="preserve">.  I shall </w:t>
      </w:r>
      <w:r w:rsidR="005F704E" w:rsidRPr="00E82FE8">
        <w:t xml:space="preserve">suggest </w:t>
      </w:r>
      <w:r w:rsidR="00997037" w:rsidRPr="00E82FE8">
        <w:t>today that t</w:t>
      </w:r>
      <w:r w:rsidR="00997037" w:rsidRPr="00E82FE8">
        <w:rPr>
          <w:shd w:val="clear" w:color="auto" w:fill="FAFAFA"/>
        </w:rPr>
        <w:t xml:space="preserve">he impacts will influence business and corporate law.  Just as </w:t>
      </w:r>
      <w:r w:rsidR="00B527CA" w:rsidRPr="00E82FE8">
        <w:rPr>
          <w:shd w:val="clear" w:color="auto" w:fill="FAFAFA"/>
        </w:rPr>
        <w:t xml:space="preserve">we turned to the government in </w:t>
      </w:r>
      <w:r w:rsidR="00904A36" w:rsidRPr="00E82FE8">
        <w:rPr>
          <w:shd w:val="clear" w:color="auto" w:fill="FAFAFA"/>
        </w:rPr>
        <w:t xml:space="preserve">the face of </w:t>
      </w:r>
      <w:r w:rsidR="00997037" w:rsidRPr="00E82FE8">
        <w:rPr>
          <w:shd w:val="clear" w:color="auto" w:fill="FAFAFA"/>
        </w:rPr>
        <w:t xml:space="preserve">the </w:t>
      </w:r>
      <w:r w:rsidR="006463C4" w:rsidRPr="00E82FE8">
        <w:rPr>
          <w:shd w:val="clear" w:color="auto" w:fill="FAFAFA"/>
        </w:rPr>
        <w:t>pandemic</w:t>
      </w:r>
      <w:r w:rsidR="00B527CA" w:rsidRPr="00E82FE8">
        <w:rPr>
          <w:shd w:val="clear" w:color="auto" w:fill="FAFAFA"/>
        </w:rPr>
        <w:t xml:space="preserve">, </w:t>
      </w:r>
      <w:r w:rsidR="005F704E" w:rsidRPr="00E82FE8">
        <w:rPr>
          <w:shd w:val="clear" w:color="auto" w:fill="FAFAFA"/>
        </w:rPr>
        <w:t xml:space="preserve">we are turning to government and </w:t>
      </w:r>
      <w:r w:rsidR="00B527CA" w:rsidRPr="00E82FE8">
        <w:rPr>
          <w:shd w:val="clear" w:color="auto" w:fill="FAFAFA"/>
        </w:rPr>
        <w:t xml:space="preserve">the financial markets </w:t>
      </w:r>
      <w:r w:rsidR="005F704E" w:rsidRPr="00E82FE8">
        <w:rPr>
          <w:shd w:val="clear" w:color="auto" w:fill="FAFAFA"/>
        </w:rPr>
        <w:t xml:space="preserve">to </w:t>
      </w:r>
      <w:r w:rsidR="006463C4" w:rsidRPr="00E82FE8">
        <w:rPr>
          <w:shd w:val="clear" w:color="auto" w:fill="FAFAFA"/>
        </w:rPr>
        <w:t>accelerat</w:t>
      </w:r>
      <w:r w:rsidR="005F704E" w:rsidRPr="00E82FE8">
        <w:rPr>
          <w:shd w:val="clear" w:color="auto" w:fill="FAFAFA"/>
        </w:rPr>
        <w:t>e</w:t>
      </w:r>
      <w:r w:rsidR="006463C4" w:rsidRPr="00E82FE8">
        <w:rPr>
          <w:shd w:val="clear" w:color="auto" w:fill="FAFAFA"/>
        </w:rPr>
        <w:t xml:space="preserve"> </w:t>
      </w:r>
      <w:r w:rsidR="009D622A" w:rsidRPr="00E82FE8">
        <w:rPr>
          <w:shd w:val="clear" w:color="auto" w:fill="FAFAFA"/>
        </w:rPr>
        <w:t>a</w:t>
      </w:r>
      <w:r w:rsidR="006463C4" w:rsidRPr="00E82FE8">
        <w:rPr>
          <w:shd w:val="clear" w:color="auto" w:fill="FAFAFA"/>
        </w:rPr>
        <w:t xml:space="preserve"> trend for stronger corporate governance. </w:t>
      </w:r>
    </w:p>
    <w:p w14:paraId="45CD5772" w14:textId="4CE4A637" w:rsidR="005E6335" w:rsidRPr="00E82FE8" w:rsidRDefault="005E6335" w:rsidP="005E6335">
      <w:pPr>
        <w:pStyle w:val="Heading3"/>
        <w:rPr>
          <w:rFonts w:eastAsia="Times New Roman"/>
        </w:rPr>
      </w:pPr>
      <w:r w:rsidRPr="00E82FE8">
        <w:rPr>
          <w:rFonts w:eastAsia="Times New Roman"/>
        </w:rPr>
        <w:t xml:space="preserve">The Trend for Stronger Corporate Governance </w:t>
      </w:r>
    </w:p>
    <w:p w14:paraId="5A30A695" w14:textId="702498D7" w:rsidR="0033472E" w:rsidRPr="00E82FE8" w:rsidRDefault="00CF6735" w:rsidP="005F103C">
      <w:pPr>
        <w:rPr>
          <w:shd w:val="clear" w:color="auto" w:fill="FAFAFA"/>
        </w:rPr>
      </w:pPr>
      <w:r w:rsidRPr="00E82FE8">
        <w:rPr>
          <w:shd w:val="clear" w:color="auto" w:fill="FAFAFA"/>
        </w:rPr>
        <w:t xml:space="preserve">The business and corporate area has </w:t>
      </w:r>
      <w:r w:rsidR="00314910" w:rsidRPr="00E82FE8">
        <w:rPr>
          <w:shd w:val="clear" w:color="auto" w:fill="FAFAFA"/>
        </w:rPr>
        <w:t xml:space="preserve">experienced </w:t>
      </w:r>
      <w:r w:rsidRPr="00E82FE8">
        <w:rPr>
          <w:shd w:val="clear" w:color="auto" w:fill="FAFAFA"/>
        </w:rPr>
        <w:t xml:space="preserve">a long-term trend for stronger corporate governance.  The trend </w:t>
      </w:r>
      <w:r w:rsidR="004B3D91" w:rsidRPr="00E82FE8">
        <w:rPr>
          <w:shd w:val="clear" w:color="auto" w:fill="FAFAFA"/>
        </w:rPr>
        <w:t xml:space="preserve">arguably </w:t>
      </w:r>
      <w:r w:rsidRPr="00E82FE8">
        <w:rPr>
          <w:shd w:val="clear" w:color="auto" w:fill="FAFAFA"/>
        </w:rPr>
        <w:t xml:space="preserve">began in </w:t>
      </w:r>
      <w:r w:rsidR="00AA54BD" w:rsidRPr="00E82FE8">
        <w:rPr>
          <w:shd w:val="clear" w:color="auto" w:fill="FAFAFA"/>
        </w:rPr>
        <w:t>200</w:t>
      </w:r>
      <w:r w:rsidR="00F73567" w:rsidRPr="00E82FE8">
        <w:rPr>
          <w:shd w:val="clear" w:color="auto" w:fill="FAFAFA"/>
        </w:rPr>
        <w:t>2</w:t>
      </w:r>
      <w:r w:rsidR="00AA54BD" w:rsidRPr="00E82FE8">
        <w:rPr>
          <w:shd w:val="clear" w:color="auto" w:fill="FAFAFA"/>
        </w:rPr>
        <w:t xml:space="preserve"> in the wake of Enron and other notable corporate </w:t>
      </w:r>
      <w:r w:rsidR="00F73567" w:rsidRPr="00E82FE8">
        <w:rPr>
          <w:shd w:val="clear" w:color="auto" w:fill="FAFAFA"/>
        </w:rPr>
        <w:t xml:space="preserve">scandals, such as </w:t>
      </w:r>
      <w:r w:rsidR="00911238" w:rsidRPr="00E82FE8">
        <w:rPr>
          <w:shd w:val="clear" w:color="auto" w:fill="FAFAFA"/>
        </w:rPr>
        <w:t>WorldCom,</w:t>
      </w:r>
      <w:r w:rsidR="00D14B6E" w:rsidRPr="00E82FE8">
        <w:t xml:space="preserve"> Adelphia and Tyco</w:t>
      </w:r>
      <w:r w:rsidR="00F73567" w:rsidRPr="00E82FE8">
        <w:t>.</w:t>
      </w:r>
      <w:r w:rsidR="00F73567" w:rsidRPr="00E82FE8">
        <w:rPr>
          <w:rStyle w:val="FootnoteReference"/>
          <w:shd w:val="clear" w:color="auto" w:fill="FAFAFA"/>
        </w:rPr>
        <w:footnoteReference w:id="12"/>
      </w:r>
      <w:r w:rsidR="00911238" w:rsidRPr="00E82FE8">
        <w:rPr>
          <w:shd w:val="clear" w:color="auto" w:fill="FAFAFA"/>
        </w:rPr>
        <w:t xml:space="preserve"> </w:t>
      </w:r>
      <w:r w:rsidR="00F73567" w:rsidRPr="00E82FE8">
        <w:rPr>
          <w:shd w:val="clear" w:color="auto" w:fill="FAFAFA"/>
        </w:rPr>
        <w:t xml:space="preserve"> Congress responded with the </w:t>
      </w:r>
      <w:r w:rsidR="00B65F8F" w:rsidRPr="00E82FE8">
        <w:t>Sarbanes-Oxley Act</w:t>
      </w:r>
      <w:r w:rsidR="00F73567" w:rsidRPr="00E82FE8">
        <w:t xml:space="preserve">, which </w:t>
      </w:r>
      <w:r w:rsidR="004153E1" w:rsidRPr="00E82FE8">
        <w:t xml:space="preserve">implemented a number </w:t>
      </w:r>
      <w:r w:rsidR="003C0E92" w:rsidRPr="00E82FE8">
        <w:t xml:space="preserve">of </w:t>
      </w:r>
      <w:r w:rsidR="003C0E92" w:rsidRPr="00E82FE8">
        <w:rPr>
          <w:shd w:val="clear" w:color="auto" w:fill="FAFAFA"/>
        </w:rPr>
        <w:t>corporate</w:t>
      </w:r>
      <w:r w:rsidR="004153E1" w:rsidRPr="00E82FE8">
        <w:rPr>
          <w:shd w:val="clear" w:color="auto" w:fill="FAFAFA"/>
        </w:rPr>
        <w:t xml:space="preserve"> governance </w:t>
      </w:r>
      <w:r w:rsidR="00AA54BD" w:rsidRPr="00E82FE8">
        <w:rPr>
          <w:shd w:val="clear" w:color="auto" w:fill="FAFAFA"/>
        </w:rPr>
        <w:t>reform</w:t>
      </w:r>
      <w:r w:rsidR="004153E1" w:rsidRPr="00E82FE8">
        <w:rPr>
          <w:shd w:val="clear" w:color="auto" w:fill="FAFAFA"/>
        </w:rPr>
        <w:t xml:space="preserve">s and </w:t>
      </w:r>
      <w:r w:rsidR="009E21FA" w:rsidRPr="00E82FE8">
        <w:rPr>
          <w:shd w:val="clear" w:color="auto" w:fill="FAFAFA"/>
        </w:rPr>
        <w:t xml:space="preserve">stronger </w:t>
      </w:r>
      <w:r w:rsidR="00AA54BD" w:rsidRPr="00E82FE8">
        <w:rPr>
          <w:shd w:val="clear" w:color="auto" w:fill="FAFAFA"/>
        </w:rPr>
        <w:t>financial controls</w:t>
      </w:r>
      <w:r w:rsidR="004153E1" w:rsidRPr="00E82FE8">
        <w:rPr>
          <w:shd w:val="clear" w:color="auto" w:fill="FAFAFA"/>
        </w:rPr>
        <w:t>.</w:t>
      </w:r>
      <w:r w:rsidR="00D14B6E" w:rsidRPr="00E82FE8">
        <w:rPr>
          <w:rStyle w:val="FootnoteReference"/>
          <w:shd w:val="clear" w:color="auto" w:fill="FAFAFA"/>
        </w:rPr>
        <w:footnoteReference w:id="13"/>
      </w:r>
      <w:r w:rsidR="00911238" w:rsidRPr="00E82FE8">
        <w:rPr>
          <w:shd w:val="clear" w:color="auto" w:fill="FAFAFA"/>
        </w:rPr>
        <w:t xml:space="preserve"> </w:t>
      </w:r>
      <w:r w:rsidR="004153E1" w:rsidRPr="00E82FE8">
        <w:rPr>
          <w:shd w:val="clear" w:color="auto" w:fill="FAFAFA"/>
        </w:rPr>
        <w:t xml:space="preserve"> The financial crisis that morphed into </w:t>
      </w:r>
      <w:r w:rsidR="00911238" w:rsidRPr="00E82FE8">
        <w:rPr>
          <w:shd w:val="clear" w:color="auto" w:fill="FAFAFA"/>
        </w:rPr>
        <w:t xml:space="preserve">the </w:t>
      </w:r>
      <w:r w:rsidR="00B65F8F" w:rsidRPr="00E82FE8">
        <w:rPr>
          <w:shd w:val="clear" w:color="auto" w:fill="FAFAFA"/>
        </w:rPr>
        <w:t>great recession</w:t>
      </w:r>
      <w:r w:rsidR="00D14B6E" w:rsidRPr="00E82FE8">
        <w:rPr>
          <w:rStyle w:val="FootnoteReference"/>
          <w:shd w:val="clear" w:color="auto" w:fill="FAFAFA"/>
        </w:rPr>
        <w:footnoteReference w:id="14"/>
      </w:r>
      <w:r w:rsidR="00D14B6E" w:rsidRPr="00E82FE8">
        <w:rPr>
          <w:shd w:val="clear" w:color="auto" w:fill="FAFAFA"/>
        </w:rPr>
        <w:t xml:space="preserve"> </w:t>
      </w:r>
      <w:r w:rsidR="004153E1" w:rsidRPr="00E82FE8">
        <w:rPr>
          <w:shd w:val="clear" w:color="auto" w:fill="FAFAFA"/>
        </w:rPr>
        <w:t xml:space="preserve">was </w:t>
      </w:r>
      <w:r w:rsidR="00486E3D" w:rsidRPr="00E82FE8">
        <w:rPr>
          <w:shd w:val="clear" w:color="auto" w:fill="FAFAFA"/>
        </w:rPr>
        <w:t xml:space="preserve">addressed </w:t>
      </w:r>
      <w:r w:rsidR="00911238" w:rsidRPr="00E82FE8">
        <w:rPr>
          <w:shd w:val="clear" w:color="auto" w:fill="FAFAFA"/>
        </w:rPr>
        <w:t xml:space="preserve">by </w:t>
      </w:r>
      <w:r w:rsidR="00486E3D" w:rsidRPr="00E82FE8">
        <w:rPr>
          <w:shd w:val="clear" w:color="auto" w:fill="FAFAFA"/>
        </w:rPr>
        <w:t xml:space="preserve">the </w:t>
      </w:r>
      <w:r w:rsidR="00911238" w:rsidRPr="00E82FE8">
        <w:rPr>
          <w:shd w:val="clear" w:color="auto" w:fill="FAFAFA"/>
        </w:rPr>
        <w:t>Dodd-Frank</w:t>
      </w:r>
      <w:r w:rsidR="00D14B6E" w:rsidRPr="00E82FE8">
        <w:rPr>
          <w:shd w:val="clear" w:color="auto" w:fill="FAFAFA"/>
        </w:rPr>
        <w:t xml:space="preserve"> Act</w:t>
      </w:r>
      <w:r w:rsidR="0036568C" w:rsidRPr="00E82FE8">
        <w:rPr>
          <w:shd w:val="clear" w:color="auto" w:fill="FAFAFA"/>
        </w:rPr>
        <w:t>, which made further structural changes to the financial markets</w:t>
      </w:r>
      <w:r w:rsidR="004B3D91" w:rsidRPr="00E82FE8">
        <w:rPr>
          <w:shd w:val="clear" w:color="auto" w:fill="FAFAFA"/>
        </w:rPr>
        <w:t>.</w:t>
      </w:r>
      <w:r w:rsidR="00D14B6E" w:rsidRPr="00E82FE8">
        <w:rPr>
          <w:rStyle w:val="FootnoteReference"/>
          <w:shd w:val="clear" w:color="auto" w:fill="FAFAFA"/>
        </w:rPr>
        <w:footnoteReference w:id="15"/>
      </w:r>
      <w:r w:rsidR="00911238" w:rsidRPr="00E82FE8">
        <w:rPr>
          <w:shd w:val="clear" w:color="auto" w:fill="FAFAFA"/>
        </w:rPr>
        <w:t xml:space="preserve"> </w:t>
      </w:r>
    </w:p>
    <w:p w14:paraId="7F63238A" w14:textId="77777777" w:rsidR="00B527CA" w:rsidRPr="00E82FE8" w:rsidRDefault="00B527CA" w:rsidP="00B527CA">
      <w:pPr>
        <w:pStyle w:val="Heading4"/>
      </w:pPr>
      <w:r w:rsidRPr="00E82FE8">
        <w:t xml:space="preserve">ESG </w:t>
      </w:r>
    </w:p>
    <w:p w14:paraId="19576F27" w14:textId="77777777" w:rsidR="00B527CA" w:rsidRPr="00E82FE8" w:rsidRDefault="00B527CA" w:rsidP="00B527CA">
      <w:pPr>
        <w:rPr>
          <w:shd w:val="clear" w:color="auto" w:fill="FFFFFF"/>
        </w:rPr>
      </w:pPr>
      <w:r w:rsidRPr="00E82FE8">
        <w:rPr>
          <w:shd w:val="clear" w:color="auto" w:fill="FFFFFF"/>
        </w:rPr>
        <w:t>The markets are increasingly using environmental, social and corporate governance or ESG factors in their investment analyses to identify material risks, sustainability and growth opportunities.</w:t>
      </w:r>
      <w:r w:rsidRPr="00E82FE8">
        <w:rPr>
          <w:rStyle w:val="FootnoteReference"/>
          <w:shd w:val="clear" w:color="auto" w:fill="FFFFFF"/>
        </w:rPr>
        <w:footnoteReference w:id="16"/>
      </w:r>
      <w:r w:rsidRPr="00E82FE8">
        <w:rPr>
          <w:shd w:val="clear" w:color="auto" w:fill="FFFFFF"/>
        </w:rPr>
        <w:t xml:space="preserve">  ESG evaluates the impact a company has on its employees, the environment, and the communities where it operates.  ESG can be considered a measure of corporate responsibility.</w:t>
      </w:r>
    </w:p>
    <w:p w14:paraId="4A4FF51F" w14:textId="77777777" w:rsidR="00B527CA" w:rsidRPr="00E82FE8" w:rsidRDefault="00B527CA" w:rsidP="00B527CA">
      <w:pPr>
        <w:rPr>
          <w:shd w:val="clear" w:color="auto" w:fill="FFFFFF"/>
        </w:rPr>
      </w:pPr>
      <w:r w:rsidRPr="00E82FE8">
        <w:rPr>
          <w:shd w:val="clear" w:color="auto" w:fill="FFFFFF"/>
        </w:rPr>
        <w:t>Institutional investors increasingly believe that various forms of corporate responsibility are intangible assets that can build enterprise value.</w:t>
      </w:r>
      <w:r w:rsidRPr="00E82FE8">
        <w:rPr>
          <w:rStyle w:val="FootnoteReference"/>
          <w:shd w:val="clear" w:color="auto" w:fill="FFFFFF"/>
        </w:rPr>
        <w:footnoteReference w:id="17"/>
      </w:r>
      <w:r w:rsidRPr="00E82FE8">
        <w:rPr>
          <w:shd w:val="clear" w:color="auto" w:fill="FFFFFF"/>
        </w:rPr>
        <w:t xml:space="preserve">  To measure ESG, financial analysts develop metrics that assess a company’s level of ESG commitment.  Sensing the market trends and financial benefits, companies are engaging in self-evaluations and issuing reports that aid in ESG quantification and rankings.</w:t>
      </w:r>
      <w:r w:rsidRPr="00E82FE8">
        <w:rPr>
          <w:rStyle w:val="FootnoteReference"/>
          <w:shd w:val="clear" w:color="auto" w:fill="FFFFFF"/>
        </w:rPr>
        <w:footnoteReference w:id="18"/>
      </w:r>
    </w:p>
    <w:p w14:paraId="409BEDDE" w14:textId="77777777" w:rsidR="00090872" w:rsidRDefault="00B527CA" w:rsidP="00B527CA">
      <w:pPr>
        <w:rPr>
          <w:shd w:val="clear" w:color="auto" w:fill="FFFFFF"/>
        </w:rPr>
      </w:pPr>
      <w:r w:rsidRPr="00E82FE8">
        <w:rPr>
          <w:shd w:val="clear" w:color="auto" w:fill="FFFFFF"/>
        </w:rPr>
        <w:t>In the environmental area, analysts and companies attempt to measure the impact that a company’s operations have upon the air, water, ecosystems and human health.  With the increasing recognition of the hazards of climate change, they will measure greenhouse gas emissions, the impact on biodiversity, and waste and water management practices.  ESG will assess the sustainability of a company’s operations, including its long-term access to resources and raw materials and future markets for its production.</w:t>
      </w:r>
    </w:p>
    <w:p w14:paraId="368944A0" w14:textId="444906F0" w:rsidR="00B527CA" w:rsidRPr="00E82FE8" w:rsidRDefault="00B527CA" w:rsidP="00B527CA">
      <w:pPr>
        <w:rPr>
          <w:shd w:val="clear" w:color="auto" w:fill="FFFFFF"/>
        </w:rPr>
      </w:pPr>
      <w:r w:rsidRPr="00E82FE8">
        <w:rPr>
          <w:shd w:val="clear" w:color="auto" w:fill="FFFFFF"/>
        </w:rPr>
        <w:t xml:space="preserve">The social factors include employee diversity, safe working conditions and consumer protection.  For agriculture and food producers, social factors would include animal welfare practices. </w:t>
      </w:r>
    </w:p>
    <w:p w14:paraId="7FD43B68" w14:textId="77777777" w:rsidR="00090872" w:rsidRDefault="00B527CA" w:rsidP="00B527CA">
      <w:pPr>
        <w:rPr>
          <w:shd w:val="clear" w:color="auto" w:fill="FFFFFF"/>
        </w:rPr>
      </w:pPr>
      <w:r w:rsidRPr="00E82FE8">
        <w:rPr>
          <w:shd w:val="clear" w:color="auto" w:fill="FFFFFF"/>
        </w:rPr>
        <w:t>Corporate governance has a longer history than environmental and social factors.  Reforms after the Enron and similar corporate collapses emphasized the need for stronger internal controls and checks on management actions.  This led to greater board independence, disclosures relating to executive compensation, and stronger auditing practices.  The growing influence of institutional investors, the guidance by proxy advisory firms, and more activist shareholders have encouraged better corporate governance.</w:t>
      </w:r>
    </w:p>
    <w:p w14:paraId="41CAACFD" w14:textId="77777777" w:rsidR="00090872" w:rsidRDefault="006B2B29" w:rsidP="006B2B29">
      <w:pPr>
        <w:rPr>
          <w:shd w:val="clear" w:color="auto" w:fill="FFFFFF"/>
        </w:rPr>
      </w:pPr>
      <w:r w:rsidRPr="00E82FE8">
        <w:rPr>
          <w:rFonts w:eastAsia="Times New Roman"/>
          <w:szCs w:val="24"/>
        </w:rPr>
        <w:t xml:space="preserve">The </w:t>
      </w:r>
      <w:r w:rsidRPr="00E82FE8">
        <w:rPr>
          <w:szCs w:val="24"/>
          <w:shd w:val="clear" w:color="auto" w:fill="FFFFFF"/>
        </w:rPr>
        <w:t xml:space="preserve">Business Roundtable, which represents many of America’s largest companies, </w:t>
      </w:r>
      <w:r w:rsidRPr="00E82FE8">
        <w:rPr>
          <w:szCs w:val="24"/>
          <w:bdr w:val="none" w:sz="0" w:space="0" w:color="auto" w:frame="1"/>
          <w:shd w:val="clear" w:color="auto" w:fill="FFFFFF"/>
        </w:rPr>
        <w:t>issued a statement</w:t>
      </w:r>
      <w:r w:rsidRPr="00E82FE8">
        <w:rPr>
          <w:szCs w:val="24"/>
        </w:rPr>
        <w:t xml:space="preserve"> in 2019 </w:t>
      </w:r>
      <w:r w:rsidRPr="00E82FE8">
        <w:rPr>
          <w:szCs w:val="24"/>
          <w:shd w:val="clear" w:color="auto" w:fill="FFFFFF"/>
        </w:rPr>
        <w:t>on “the purpose of a corporation”.  It said businesses should no longer advance only the interests of shareholders, but must also invest in their employees, support their communities, protect the environment and deal fairly with their suppliers.</w:t>
      </w:r>
      <w:r w:rsidRPr="00E82FE8">
        <w:rPr>
          <w:rStyle w:val="FootnoteReference"/>
          <w:rFonts w:eastAsia="Times New Roman"/>
          <w:szCs w:val="24"/>
        </w:rPr>
        <w:footnoteReference w:id="19"/>
      </w:r>
      <w:r w:rsidRPr="00E82FE8">
        <w:rPr>
          <w:rFonts w:eastAsia="Times New Roman"/>
          <w:szCs w:val="24"/>
        </w:rPr>
        <w:t xml:space="preserve">  A statement from </w:t>
      </w:r>
      <w:r w:rsidR="00BD2FB5" w:rsidRPr="00E82FE8">
        <w:rPr>
          <w:rFonts w:eastAsia="Times New Roman"/>
          <w:szCs w:val="24"/>
        </w:rPr>
        <w:t xml:space="preserve">Larry Fink, </w:t>
      </w:r>
      <w:r w:rsidRPr="00E82FE8">
        <w:rPr>
          <w:rFonts w:eastAsia="Times New Roman"/>
          <w:szCs w:val="24"/>
        </w:rPr>
        <w:t xml:space="preserve">CEO of </w:t>
      </w:r>
      <w:r w:rsidRPr="00E82FE8">
        <w:t xml:space="preserve">BlackRock, the world’s largest investment management firm, soon followed.  In a letter to the companies in which it invests, BlackRock says </w:t>
      </w:r>
      <w:r w:rsidRPr="00E82FE8">
        <w:rPr>
          <w:shd w:val="clear" w:color="auto" w:fill="FFFFFF"/>
        </w:rPr>
        <w:t>that companies must do more than make profits.  They must contribute to the betterment of society if they want BlackRock’s support.</w:t>
      </w:r>
      <w:r w:rsidRPr="00E82FE8">
        <w:rPr>
          <w:rStyle w:val="FootnoteReference"/>
          <w:shd w:val="clear" w:color="auto" w:fill="FFFFFF"/>
        </w:rPr>
        <w:footnoteReference w:id="20"/>
      </w:r>
      <w:r w:rsidRPr="00E82FE8">
        <w:rPr>
          <w:shd w:val="clear" w:color="auto" w:fill="FFFFFF"/>
        </w:rPr>
        <w:t xml:space="preserve">  These shifting attitudes indicate a belief that profits and </w:t>
      </w:r>
      <w:r w:rsidR="00B832A2" w:rsidRPr="00E82FE8">
        <w:rPr>
          <w:shd w:val="clear" w:color="auto" w:fill="FFFFFF"/>
        </w:rPr>
        <w:t xml:space="preserve">social responsibility </w:t>
      </w:r>
      <w:r w:rsidRPr="00E82FE8">
        <w:rPr>
          <w:shd w:val="clear" w:color="auto" w:fill="FFFFFF"/>
        </w:rPr>
        <w:t>are not incompatible, but are complimentary.  A company’s better treatment of its employees, customers, community and the environment improve its chances for long-term sustainability.</w:t>
      </w:r>
    </w:p>
    <w:p w14:paraId="5F726301" w14:textId="0BF7F04F" w:rsidR="006B2B29" w:rsidRPr="00E82FE8" w:rsidRDefault="004B3D91" w:rsidP="00990F9F">
      <w:pPr>
        <w:pStyle w:val="Heading4"/>
        <w:rPr>
          <w:shd w:val="clear" w:color="auto" w:fill="FFFFFF"/>
        </w:rPr>
      </w:pPr>
      <w:r w:rsidRPr="00E82FE8">
        <w:rPr>
          <w:shd w:val="clear" w:color="auto" w:fill="FFFFFF"/>
        </w:rPr>
        <w:t xml:space="preserve">The </w:t>
      </w:r>
      <w:r w:rsidR="00990F9F" w:rsidRPr="00E82FE8">
        <w:rPr>
          <w:shd w:val="clear" w:color="auto" w:fill="FFFFFF"/>
        </w:rPr>
        <w:t xml:space="preserve">Marketplace </w:t>
      </w:r>
      <w:r w:rsidRPr="00E82FE8">
        <w:rPr>
          <w:shd w:val="clear" w:color="auto" w:fill="FFFFFF"/>
        </w:rPr>
        <w:t xml:space="preserve">Embraces </w:t>
      </w:r>
      <w:r w:rsidR="00990F9F" w:rsidRPr="00E82FE8">
        <w:rPr>
          <w:shd w:val="clear" w:color="auto" w:fill="FFFFFF"/>
        </w:rPr>
        <w:t>Public Benefit Co</w:t>
      </w:r>
      <w:r w:rsidR="009E0CC8" w:rsidRPr="00E82FE8">
        <w:rPr>
          <w:shd w:val="clear" w:color="auto" w:fill="FFFFFF"/>
        </w:rPr>
        <w:t>mpanies</w:t>
      </w:r>
    </w:p>
    <w:p w14:paraId="219E2674" w14:textId="77777777" w:rsidR="00090872" w:rsidRDefault="00ED1854" w:rsidP="003E3B90">
      <w:pPr>
        <w:rPr>
          <w:bCs/>
        </w:rPr>
      </w:pPr>
      <w:r w:rsidRPr="00E82FE8">
        <w:rPr>
          <w:shd w:val="clear" w:color="auto" w:fill="FFFFFF"/>
        </w:rPr>
        <w:t>The shift to greater c</w:t>
      </w:r>
      <w:r w:rsidR="00990F9F" w:rsidRPr="00E82FE8">
        <w:rPr>
          <w:shd w:val="clear" w:color="auto" w:fill="FFFFFF"/>
        </w:rPr>
        <w:t>orporate social responsibility is evidence</w:t>
      </w:r>
      <w:r w:rsidRPr="00E82FE8">
        <w:rPr>
          <w:shd w:val="clear" w:color="auto" w:fill="FFFFFF"/>
        </w:rPr>
        <w:t>d by</w:t>
      </w:r>
      <w:r w:rsidR="00990F9F" w:rsidRPr="00E82FE8">
        <w:rPr>
          <w:shd w:val="clear" w:color="auto" w:fill="FFFFFF"/>
        </w:rPr>
        <w:t xml:space="preserve"> the </w:t>
      </w:r>
      <w:r w:rsidRPr="00E82FE8">
        <w:rPr>
          <w:shd w:val="clear" w:color="auto" w:fill="FFFFFF"/>
        </w:rPr>
        <w:t xml:space="preserve">rapid </w:t>
      </w:r>
      <w:r w:rsidR="00990F9F" w:rsidRPr="00E82FE8">
        <w:rPr>
          <w:shd w:val="clear" w:color="auto" w:fill="FFFFFF"/>
        </w:rPr>
        <w:t xml:space="preserve">spread of public benefit </w:t>
      </w:r>
      <w:r w:rsidR="009E0CC8" w:rsidRPr="00E82FE8">
        <w:rPr>
          <w:shd w:val="clear" w:color="auto" w:fill="FFFFFF"/>
        </w:rPr>
        <w:t>companies</w:t>
      </w:r>
      <w:r w:rsidR="00990F9F" w:rsidRPr="00E82FE8">
        <w:rPr>
          <w:shd w:val="clear" w:color="auto" w:fill="FFFFFF"/>
        </w:rPr>
        <w:t xml:space="preserve">.  These </w:t>
      </w:r>
      <w:r w:rsidR="009E0CC8" w:rsidRPr="00E82FE8">
        <w:rPr>
          <w:shd w:val="clear" w:color="auto" w:fill="FFFFFF"/>
        </w:rPr>
        <w:t xml:space="preserve">companies </w:t>
      </w:r>
      <w:r w:rsidR="009E0CC8" w:rsidRPr="00E82FE8">
        <w:rPr>
          <w:bCs/>
        </w:rPr>
        <w:t xml:space="preserve">are for-profit corporations and LLCs that also have a stated public purpose.  They balance the need to make money for their owners with the pursuit of an express public purpose or benefit.  </w:t>
      </w:r>
      <w:r w:rsidR="003E3B90" w:rsidRPr="00E82FE8">
        <w:rPr>
          <w:bCs/>
        </w:rPr>
        <w:t xml:space="preserve">Every benefit </w:t>
      </w:r>
      <w:r w:rsidR="001B0836" w:rsidRPr="00E82FE8">
        <w:rPr>
          <w:bCs/>
        </w:rPr>
        <w:t xml:space="preserve">company </w:t>
      </w:r>
      <w:r w:rsidR="003E3B90" w:rsidRPr="00E82FE8">
        <w:rPr>
          <w:bCs/>
        </w:rPr>
        <w:t>has a statutory purpose to produce a “general public benefit”, which is defined as creating a “material positive impact on society and the environment.”</w:t>
      </w:r>
      <w:r w:rsidR="003E3B90" w:rsidRPr="00E82FE8">
        <w:rPr>
          <w:rStyle w:val="FootnoteReference"/>
          <w:bCs/>
        </w:rPr>
        <w:footnoteReference w:id="21"/>
      </w:r>
      <w:r w:rsidR="003E3B90" w:rsidRPr="00E82FE8">
        <w:rPr>
          <w:bCs/>
        </w:rPr>
        <w:t xml:space="preserve">  This is sometimes referred to as the “triple bottom line”:  for “people, planet and profit”.</w:t>
      </w:r>
      <w:r w:rsidR="003E3B90" w:rsidRPr="00E82FE8">
        <w:rPr>
          <w:rStyle w:val="FootnoteReference"/>
          <w:bCs/>
        </w:rPr>
        <w:footnoteReference w:id="22"/>
      </w:r>
      <w:r w:rsidR="003E3B90" w:rsidRPr="00E82FE8">
        <w:rPr>
          <w:bCs/>
        </w:rPr>
        <w:t xml:space="preserve">  In addition to its general public benefit purpose, the </w:t>
      </w:r>
      <w:r w:rsidR="001B0836" w:rsidRPr="00E82FE8">
        <w:rPr>
          <w:bCs/>
        </w:rPr>
        <w:t>company</w:t>
      </w:r>
      <w:r w:rsidR="003E3B90" w:rsidRPr="00E82FE8">
        <w:rPr>
          <w:bCs/>
        </w:rPr>
        <w:t xml:space="preserve"> may add a “specific public benefit”, which it must describe in its certificate of incorporation.  A specific public benefit may include services to low-income persons, economic development, environmental protection, healthcare improvement, or promoting the arts and sciences.</w:t>
      </w:r>
      <w:r w:rsidR="003E3B90" w:rsidRPr="00E82FE8">
        <w:rPr>
          <w:rStyle w:val="FootnoteReference"/>
          <w:bCs/>
        </w:rPr>
        <w:footnoteReference w:id="23"/>
      </w:r>
    </w:p>
    <w:p w14:paraId="54C3314F" w14:textId="175B38C9" w:rsidR="009E0CC8" w:rsidRPr="00E82FE8" w:rsidRDefault="00ED1854" w:rsidP="00B527CA">
      <w:pPr>
        <w:rPr>
          <w:szCs w:val="24"/>
          <w:shd w:val="clear" w:color="auto" w:fill="FFFFFF"/>
        </w:rPr>
      </w:pPr>
      <w:r w:rsidRPr="00E82FE8">
        <w:rPr>
          <w:shd w:val="clear" w:color="auto" w:fill="FAFAFA"/>
        </w:rPr>
        <w:t>Since the initial adoption in 2010, legislatures in 37 states including Oklahoma have authorized public benefit corporations and LLCs.</w:t>
      </w:r>
      <w:r w:rsidR="00204DB9" w:rsidRPr="00E82FE8">
        <w:rPr>
          <w:rStyle w:val="FootnoteReference"/>
          <w:shd w:val="clear" w:color="auto" w:fill="FAFAFA"/>
        </w:rPr>
        <w:footnoteReference w:id="24"/>
      </w:r>
      <w:r w:rsidRPr="00E82FE8">
        <w:rPr>
          <w:shd w:val="clear" w:color="auto" w:fill="FAFAFA"/>
        </w:rPr>
        <w:t xml:space="preserve">  </w:t>
      </w:r>
      <w:r w:rsidR="002D3072" w:rsidRPr="00E82FE8">
        <w:rPr>
          <w:bCs/>
        </w:rPr>
        <w:t>Many public benefit companies are closely held businesses, but not all.  The more prominent benefit companies include Patagonia, Ben &amp; Jerry’s and Kickstarter.  Demonstrating the</w:t>
      </w:r>
      <w:r w:rsidR="0011131D" w:rsidRPr="00E82FE8">
        <w:rPr>
          <w:bCs/>
        </w:rPr>
        <w:t>ir</w:t>
      </w:r>
      <w:r w:rsidR="002D3072" w:rsidRPr="00E82FE8">
        <w:rPr>
          <w:bCs/>
        </w:rPr>
        <w:t xml:space="preserve"> marketplace acceptance</w:t>
      </w:r>
      <w:r w:rsidR="0011131D" w:rsidRPr="00E82FE8">
        <w:rPr>
          <w:bCs/>
        </w:rPr>
        <w:t>, s</w:t>
      </w:r>
      <w:r w:rsidR="002D3072" w:rsidRPr="00E82FE8">
        <w:rPr>
          <w:bCs/>
        </w:rPr>
        <w:t>ome of the most successful initial public offerings or IPOs in 2020 and 2021 have been public benefit companies.</w:t>
      </w:r>
      <w:r w:rsidR="001A017C" w:rsidRPr="00E82FE8">
        <w:rPr>
          <w:rStyle w:val="FootnoteReference"/>
          <w:bCs/>
        </w:rPr>
        <w:footnoteReference w:id="25"/>
      </w:r>
      <w:r w:rsidR="002D3072" w:rsidRPr="00E82FE8">
        <w:rPr>
          <w:bCs/>
        </w:rPr>
        <w:t xml:space="preserve">  </w:t>
      </w:r>
      <w:r w:rsidRPr="00E82FE8">
        <w:rPr>
          <w:shd w:val="clear" w:color="auto" w:fill="FAFAFA"/>
        </w:rPr>
        <w:t>Other public benefit co</w:t>
      </w:r>
      <w:r w:rsidR="0011131D" w:rsidRPr="00E82FE8">
        <w:rPr>
          <w:shd w:val="clear" w:color="auto" w:fill="FAFAFA"/>
        </w:rPr>
        <w:t xml:space="preserve">mpanies, such as Allbirds, Warby Parker, </w:t>
      </w:r>
      <w:r w:rsidR="0011131D" w:rsidRPr="00E82FE8">
        <w:rPr>
          <w:szCs w:val="24"/>
        </w:rPr>
        <w:t>Rent the Runway and Chobani,</w:t>
      </w:r>
      <w:r w:rsidR="0011131D" w:rsidRPr="00E82FE8">
        <w:rPr>
          <w:shd w:val="clear" w:color="auto" w:fill="FAFAFA"/>
        </w:rPr>
        <w:t xml:space="preserve"> </w:t>
      </w:r>
      <w:r w:rsidR="00803EF9" w:rsidRPr="00E82FE8">
        <w:rPr>
          <w:shd w:val="clear" w:color="auto" w:fill="FAFAFA"/>
        </w:rPr>
        <w:t xml:space="preserve">have gone public or </w:t>
      </w:r>
      <w:r w:rsidRPr="00E82FE8">
        <w:rPr>
          <w:shd w:val="clear" w:color="auto" w:fill="FAFAFA"/>
        </w:rPr>
        <w:t>are planning IPO’s this fall.</w:t>
      </w:r>
      <w:r w:rsidR="0011131D" w:rsidRPr="00E82FE8">
        <w:rPr>
          <w:rStyle w:val="FootnoteReference"/>
          <w:shd w:val="clear" w:color="auto" w:fill="FAFAFA"/>
        </w:rPr>
        <w:footnoteReference w:id="26"/>
      </w:r>
      <w:r w:rsidRPr="00E82FE8">
        <w:rPr>
          <w:shd w:val="clear" w:color="auto" w:fill="FAFAFA"/>
        </w:rPr>
        <w:t xml:space="preserve"> </w:t>
      </w:r>
      <w:r w:rsidRPr="00E82FE8">
        <w:rPr>
          <w:szCs w:val="24"/>
          <w:shd w:val="clear" w:color="auto" w:fill="FAFAFA"/>
        </w:rPr>
        <w:t xml:space="preserve"> </w:t>
      </w:r>
      <w:r w:rsidR="00204DB9" w:rsidRPr="00E82FE8">
        <w:rPr>
          <w:szCs w:val="24"/>
          <w:shd w:val="clear" w:color="auto" w:fill="FAFAFA"/>
        </w:rPr>
        <w:t xml:space="preserve">Commenting on public benefit companies in the marketplace, </w:t>
      </w:r>
      <w:r w:rsidR="00361D52" w:rsidRPr="00E82FE8">
        <w:rPr>
          <w:szCs w:val="24"/>
        </w:rPr>
        <w:t xml:space="preserve">John Chirico, co-head of North American banking, capital markets and advisory at Citigroup </w:t>
      </w:r>
      <w:r w:rsidR="00361D52" w:rsidRPr="00E82FE8">
        <w:rPr>
          <w:rStyle w:val="company-name-type"/>
          <w:szCs w:val="24"/>
          <w:bdr w:val="none" w:sz="0" w:space="0" w:color="auto" w:frame="1"/>
        </w:rPr>
        <w:t xml:space="preserve">Inc. says, </w:t>
      </w:r>
      <w:r w:rsidR="00361D52" w:rsidRPr="00E82FE8">
        <w:rPr>
          <w:szCs w:val="24"/>
        </w:rPr>
        <w:t>“Thirty years ago, the goal of a company was to serve shareholders. That’s evolved.  Everyone is trying to be mission-driven these days.”</w:t>
      </w:r>
      <w:r w:rsidR="00361D52" w:rsidRPr="00E82FE8">
        <w:rPr>
          <w:rStyle w:val="FootnoteReference"/>
          <w:szCs w:val="24"/>
        </w:rPr>
        <w:footnoteReference w:id="27"/>
      </w:r>
    </w:p>
    <w:p w14:paraId="77A99CF6" w14:textId="3ED2938E" w:rsidR="005E6335" w:rsidRPr="00E82FE8" w:rsidRDefault="005E6335" w:rsidP="005E6335">
      <w:pPr>
        <w:pStyle w:val="Heading4"/>
        <w:rPr>
          <w:rFonts w:eastAsia="Times New Roman"/>
        </w:rPr>
      </w:pPr>
      <w:r w:rsidRPr="00E82FE8">
        <w:rPr>
          <w:rFonts w:eastAsia="Times New Roman"/>
        </w:rPr>
        <w:t>The Corporate Transparency Act</w:t>
      </w:r>
    </w:p>
    <w:p w14:paraId="6D4A577E" w14:textId="77777777" w:rsidR="00090872" w:rsidRDefault="009E3419" w:rsidP="009E3419">
      <w:pPr>
        <w:overflowPunct w:val="0"/>
        <w:textAlignment w:val="baseline"/>
        <w:rPr>
          <w:szCs w:val="24"/>
        </w:rPr>
      </w:pPr>
      <w:r w:rsidRPr="00E82FE8">
        <w:rPr>
          <w:shd w:val="clear" w:color="auto" w:fill="FFFFFF"/>
        </w:rPr>
        <w:t xml:space="preserve">The governance trend is seen in the push for greater corporate transparency.  </w:t>
      </w:r>
      <w:r w:rsidRPr="00E82FE8">
        <w:rPr>
          <w:szCs w:val="24"/>
        </w:rPr>
        <w:t xml:space="preserve">The </w:t>
      </w:r>
      <w:r w:rsidR="006E218B" w:rsidRPr="00E82FE8">
        <w:rPr>
          <w:szCs w:val="24"/>
        </w:rPr>
        <w:t xml:space="preserve">2021 </w:t>
      </w:r>
      <w:r w:rsidRPr="00E82FE8">
        <w:rPr>
          <w:szCs w:val="24"/>
        </w:rPr>
        <w:t>Corporate Transparency Act</w:t>
      </w:r>
      <w:r w:rsidR="002B0E3E" w:rsidRPr="00E82FE8">
        <w:rPr>
          <w:szCs w:val="24"/>
        </w:rPr>
        <w:t xml:space="preserve"> (the “</w:t>
      </w:r>
      <w:r w:rsidR="002B0E3E" w:rsidRPr="00E82FE8">
        <w:rPr>
          <w:i/>
          <w:iCs/>
          <w:szCs w:val="24"/>
        </w:rPr>
        <w:t>CTA</w:t>
      </w:r>
      <w:r w:rsidR="002B0E3E" w:rsidRPr="00E82FE8">
        <w:rPr>
          <w:szCs w:val="24"/>
        </w:rPr>
        <w:t>”)</w:t>
      </w:r>
      <w:r w:rsidRPr="00E82FE8">
        <w:rPr>
          <w:rStyle w:val="FootnoteReference"/>
          <w:szCs w:val="24"/>
        </w:rPr>
        <w:footnoteReference w:id="28"/>
      </w:r>
      <w:r w:rsidRPr="00E82FE8">
        <w:rPr>
          <w:szCs w:val="24"/>
        </w:rPr>
        <w:t xml:space="preserve"> </w:t>
      </w:r>
      <w:r w:rsidR="00E321B5" w:rsidRPr="00E82FE8">
        <w:rPr>
          <w:szCs w:val="24"/>
        </w:rPr>
        <w:t xml:space="preserve">is the result of more than a decade of effort to require the reporting of </w:t>
      </w:r>
      <w:r w:rsidR="00C95AD4" w:rsidRPr="00E82FE8">
        <w:rPr>
          <w:szCs w:val="24"/>
        </w:rPr>
        <w:t xml:space="preserve">U.S. </w:t>
      </w:r>
      <w:r w:rsidR="00E321B5" w:rsidRPr="00E82FE8">
        <w:rPr>
          <w:szCs w:val="24"/>
        </w:rPr>
        <w:t xml:space="preserve">beneficial ownership for business entities.  The reporting is </w:t>
      </w:r>
      <w:r w:rsidR="00C95AD4" w:rsidRPr="00E82FE8">
        <w:rPr>
          <w:szCs w:val="24"/>
        </w:rPr>
        <w:t xml:space="preserve">intended to </w:t>
      </w:r>
      <w:r w:rsidR="00E321B5" w:rsidRPr="00E82FE8">
        <w:rPr>
          <w:szCs w:val="24"/>
        </w:rPr>
        <w:t>“crack down on anonymous shell companies, which have long been the vehicle of choice for money launderers, terrorists, and criminals.”</w:t>
      </w:r>
      <w:r w:rsidR="00E321B5" w:rsidRPr="00E82FE8">
        <w:rPr>
          <w:rStyle w:val="FootnoteReference"/>
          <w:szCs w:val="24"/>
        </w:rPr>
        <w:footnoteReference w:id="29"/>
      </w:r>
    </w:p>
    <w:p w14:paraId="537D6CA9" w14:textId="4B35E2CB" w:rsidR="00E51259" w:rsidRPr="00E82FE8" w:rsidRDefault="00E321B5" w:rsidP="00C95AD4">
      <w:pPr>
        <w:overflowPunct w:val="0"/>
        <w:textAlignment w:val="baseline"/>
        <w:rPr>
          <w:szCs w:val="24"/>
          <w:shd w:val="clear" w:color="auto" w:fill="FFFFFF"/>
        </w:rPr>
      </w:pPr>
      <w:r w:rsidRPr="00E82FE8">
        <w:rPr>
          <w:szCs w:val="24"/>
        </w:rPr>
        <w:t xml:space="preserve">The CTA </w:t>
      </w:r>
      <w:r w:rsidR="00C91E4B" w:rsidRPr="00E82FE8">
        <w:rPr>
          <w:szCs w:val="24"/>
        </w:rPr>
        <w:t xml:space="preserve">will </w:t>
      </w:r>
      <w:r w:rsidR="009E3419" w:rsidRPr="00E82FE8">
        <w:rPr>
          <w:szCs w:val="24"/>
        </w:rPr>
        <w:t xml:space="preserve">require </w:t>
      </w:r>
      <w:r w:rsidR="006A5D60" w:rsidRPr="00E82FE8">
        <w:rPr>
          <w:szCs w:val="24"/>
          <w:shd w:val="clear" w:color="auto" w:fill="FFFFFF"/>
        </w:rPr>
        <w:t xml:space="preserve">“reporting companies” to report </w:t>
      </w:r>
      <w:r w:rsidR="00EA2645" w:rsidRPr="00E82FE8">
        <w:rPr>
          <w:szCs w:val="24"/>
          <w:shd w:val="clear" w:color="auto" w:fill="FFFFFF"/>
        </w:rPr>
        <w:t xml:space="preserve">their beneficial ownership to </w:t>
      </w:r>
      <w:r w:rsidR="004D2EE3" w:rsidRPr="00E82FE8">
        <w:rPr>
          <w:szCs w:val="24"/>
          <w:shd w:val="clear" w:color="auto" w:fill="FFFFFF"/>
        </w:rPr>
        <w:t xml:space="preserve">the </w:t>
      </w:r>
      <w:r w:rsidR="001D6944" w:rsidRPr="00E82FE8">
        <w:rPr>
          <w:szCs w:val="24"/>
          <w:shd w:val="clear" w:color="auto" w:fill="FFFFFF"/>
        </w:rPr>
        <w:t xml:space="preserve">Department of </w:t>
      </w:r>
      <w:r w:rsidR="004D2EE3" w:rsidRPr="00E82FE8">
        <w:rPr>
          <w:szCs w:val="24"/>
          <w:shd w:val="clear" w:color="auto" w:fill="FFFFFF"/>
        </w:rPr>
        <w:t>Treasury’s Financial Crimes Enforcement Network (“</w:t>
      </w:r>
      <w:r w:rsidR="004D2EE3" w:rsidRPr="00E82FE8">
        <w:rPr>
          <w:i/>
          <w:iCs/>
          <w:szCs w:val="24"/>
          <w:shd w:val="clear" w:color="auto" w:fill="FFFFFF"/>
        </w:rPr>
        <w:t>FinCEN</w:t>
      </w:r>
      <w:r w:rsidR="004D2EE3" w:rsidRPr="00E82FE8">
        <w:rPr>
          <w:szCs w:val="24"/>
          <w:shd w:val="clear" w:color="auto" w:fill="FFFFFF"/>
        </w:rPr>
        <w:t>”)</w:t>
      </w:r>
      <w:r w:rsidR="00BB3888" w:rsidRPr="00E82FE8">
        <w:rPr>
          <w:szCs w:val="24"/>
          <w:shd w:val="clear" w:color="auto" w:fill="FFFFFF"/>
        </w:rPr>
        <w:t>.</w:t>
      </w:r>
      <w:r w:rsidR="00EA2645" w:rsidRPr="00E82FE8">
        <w:rPr>
          <w:szCs w:val="24"/>
          <w:shd w:val="clear" w:color="auto" w:fill="FFFFFF"/>
        </w:rPr>
        <w:t xml:space="preserve">  Reporting companies are any companies formed or conducting business in the U.S.,</w:t>
      </w:r>
      <w:r w:rsidR="00A6494B" w:rsidRPr="00E82FE8">
        <w:rPr>
          <w:rStyle w:val="FootnoteReference"/>
          <w:szCs w:val="24"/>
          <w:shd w:val="clear" w:color="auto" w:fill="FFFFFF"/>
        </w:rPr>
        <w:footnoteReference w:id="30"/>
      </w:r>
      <w:r w:rsidR="00EA2645" w:rsidRPr="00E82FE8">
        <w:rPr>
          <w:szCs w:val="24"/>
          <w:shd w:val="clear" w:color="auto" w:fill="FFFFFF"/>
        </w:rPr>
        <w:t xml:space="preserve"> except for</w:t>
      </w:r>
      <w:r w:rsidR="00E51259" w:rsidRPr="00E82FE8">
        <w:rPr>
          <w:szCs w:val="24"/>
          <w:shd w:val="clear" w:color="auto" w:fill="FFFFFF"/>
        </w:rPr>
        <w:t>:</w:t>
      </w:r>
    </w:p>
    <w:p w14:paraId="56B23CE4" w14:textId="77777777" w:rsidR="00E51259" w:rsidRPr="00E82FE8" w:rsidRDefault="00EA2645"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 xml:space="preserve">publicly traded companies, </w:t>
      </w:r>
    </w:p>
    <w:p w14:paraId="64B38366" w14:textId="77777777" w:rsidR="00E51259" w:rsidRPr="00E82FE8" w:rsidRDefault="00EA2645"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 xml:space="preserve">regulated financial </w:t>
      </w:r>
      <w:r w:rsidR="00E51259" w:rsidRPr="00E82FE8">
        <w:rPr>
          <w:szCs w:val="24"/>
          <w:shd w:val="clear" w:color="auto" w:fill="FFFFFF"/>
        </w:rPr>
        <w:t xml:space="preserve">institutions or investment companies, </w:t>
      </w:r>
    </w:p>
    <w:p w14:paraId="7B638696" w14:textId="77777777" w:rsidR="00E51259" w:rsidRPr="00E82FE8" w:rsidRDefault="00E51259"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 xml:space="preserve">insurance </w:t>
      </w:r>
      <w:r w:rsidR="00EA2645" w:rsidRPr="00E82FE8">
        <w:rPr>
          <w:szCs w:val="24"/>
          <w:shd w:val="clear" w:color="auto" w:fill="FFFFFF"/>
        </w:rPr>
        <w:t xml:space="preserve">companies, </w:t>
      </w:r>
    </w:p>
    <w:p w14:paraId="1092227B" w14:textId="77777777" w:rsidR="00E51259" w:rsidRPr="00E82FE8" w:rsidRDefault="00EA2645"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public utilities</w:t>
      </w:r>
      <w:r w:rsidR="00C95AD4" w:rsidRPr="00E82FE8">
        <w:rPr>
          <w:szCs w:val="24"/>
          <w:shd w:val="clear" w:color="auto" w:fill="FFFFFF"/>
        </w:rPr>
        <w:t>,</w:t>
      </w:r>
      <w:r w:rsidRPr="00E82FE8">
        <w:rPr>
          <w:szCs w:val="24"/>
          <w:shd w:val="clear" w:color="auto" w:fill="FFFFFF"/>
        </w:rPr>
        <w:t xml:space="preserve"> </w:t>
      </w:r>
    </w:p>
    <w:p w14:paraId="5864A125" w14:textId="77777777" w:rsidR="00E51259" w:rsidRPr="00E82FE8" w:rsidRDefault="00E51259"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 xml:space="preserve">tax-exempt Section 501(c) organizations, </w:t>
      </w:r>
      <w:r w:rsidR="00EA2645" w:rsidRPr="00E82FE8">
        <w:rPr>
          <w:szCs w:val="24"/>
          <w:shd w:val="clear" w:color="auto" w:fill="FFFFFF"/>
        </w:rPr>
        <w:t xml:space="preserve">and </w:t>
      </w:r>
    </w:p>
    <w:p w14:paraId="4700AB9B" w14:textId="77777777" w:rsidR="00090872" w:rsidRDefault="00EA2645" w:rsidP="00E51259">
      <w:pPr>
        <w:pStyle w:val="ListParagraph"/>
        <w:numPr>
          <w:ilvl w:val="0"/>
          <w:numId w:val="30"/>
        </w:numPr>
        <w:overflowPunct w:val="0"/>
        <w:spacing w:line="240" w:lineRule="auto"/>
        <w:contextualSpacing w:val="0"/>
        <w:textAlignment w:val="baseline"/>
        <w:rPr>
          <w:szCs w:val="24"/>
          <w:shd w:val="clear" w:color="auto" w:fill="FFFFFF"/>
        </w:rPr>
      </w:pPr>
      <w:r w:rsidRPr="00E82FE8">
        <w:rPr>
          <w:szCs w:val="24"/>
          <w:shd w:val="clear" w:color="auto" w:fill="FFFFFF"/>
        </w:rPr>
        <w:t xml:space="preserve">entities </w:t>
      </w:r>
      <w:r w:rsidR="00C95AD4" w:rsidRPr="00E82FE8">
        <w:rPr>
          <w:szCs w:val="24"/>
          <w:shd w:val="clear" w:color="auto" w:fill="FFFFFF"/>
        </w:rPr>
        <w:t xml:space="preserve">with </w:t>
      </w:r>
      <w:r w:rsidRPr="00E82FE8">
        <w:rPr>
          <w:szCs w:val="24"/>
          <w:shd w:val="clear" w:color="auto" w:fill="FFFFFF"/>
        </w:rPr>
        <w:t>a physical presence in the United States, employ</w:t>
      </w:r>
      <w:r w:rsidR="00C95AD4" w:rsidRPr="00E82FE8">
        <w:rPr>
          <w:szCs w:val="24"/>
          <w:shd w:val="clear" w:color="auto" w:fill="FFFFFF"/>
        </w:rPr>
        <w:t>ing</w:t>
      </w:r>
      <w:r w:rsidRPr="00E82FE8">
        <w:rPr>
          <w:szCs w:val="24"/>
          <w:shd w:val="clear" w:color="auto" w:fill="FFFFFF"/>
        </w:rPr>
        <w:t xml:space="preserve"> more than 20 people, and hav</w:t>
      </w:r>
      <w:r w:rsidR="00C95AD4" w:rsidRPr="00E82FE8">
        <w:rPr>
          <w:szCs w:val="24"/>
          <w:shd w:val="clear" w:color="auto" w:fill="FFFFFF"/>
        </w:rPr>
        <w:t>ing</w:t>
      </w:r>
      <w:r w:rsidRPr="00E82FE8">
        <w:rPr>
          <w:szCs w:val="24"/>
          <w:shd w:val="clear" w:color="auto" w:fill="FFFFFF"/>
        </w:rPr>
        <w:t xml:space="preserve"> filed Federal income tax returns </w:t>
      </w:r>
      <w:r w:rsidR="00C95AD4" w:rsidRPr="00E82FE8">
        <w:rPr>
          <w:szCs w:val="24"/>
          <w:shd w:val="clear" w:color="auto" w:fill="FFFFFF"/>
        </w:rPr>
        <w:t xml:space="preserve">showing </w:t>
      </w:r>
      <w:r w:rsidRPr="00E82FE8">
        <w:rPr>
          <w:szCs w:val="24"/>
          <w:shd w:val="clear" w:color="auto" w:fill="FFFFFF"/>
        </w:rPr>
        <w:t>more than $5,000,000 in revenue.</w:t>
      </w:r>
      <w:r w:rsidR="00B97190" w:rsidRPr="00E82FE8">
        <w:rPr>
          <w:rStyle w:val="FootnoteReference"/>
          <w:szCs w:val="24"/>
          <w:shd w:val="clear" w:color="auto" w:fill="FFFFFF"/>
        </w:rPr>
        <w:footnoteReference w:id="31"/>
      </w:r>
    </w:p>
    <w:p w14:paraId="15EC3DDA" w14:textId="580B5D21" w:rsidR="00EA2645" w:rsidRPr="00E82FE8" w:rsidRDefault="00EA2645" w:rsidP="000B5464">
      <w:pPr>
        <w:rPr>
          <w:szCs w:val="24"/>
          <w:shd w:val="clear" w:color="auto" w:fill="FFFFFF"/>
        </w:rPr>
      </w:pPr>
      <w:r w:rsidRPr="00E82FE8">
        <w:rPr>
          <w:szCs w:val="24"/>
          <w:shd w:val="clear" w:color="auto" w:fill="FFFFFF"/>
        </w:rPr>
        <w:t>The reports are not open to general public, but will be accessible</w:t>
      </w:r>
      <w:r w:rsidR="00BB3888" w:rsidRPr="00E82FE8">
        <w:rPr>
          <w:szCs w:val="24"/>
          <w:shd w:val="clear" w:color="auto" w:fill="FFFFFF"/>
        </w:rPr>
        <w:t xml:space="preserve"> to </w:t>
      </w:r>
      <w:r w:rsidRPr="00E82FE8">
        <w:rPr>
          <w:szCs w:val="24"/>
          <w:shd w:val="clear" w:color="auto" w:fill="FFFFFF"/>
        </w:rPr>
        <w:t>(</w:t>
      </w:r>
      <w:r w:rsidR="00BB3888" w:rsidRPr="00E82FE8">
        <w:rPr>
          <w:szCs w:val="24"/>
          <w:shd w:val="clear" w:color="auto" w:fill="FFFFFF"/>
        </w:rPr>
        <w:t>a</w:t>
      </w:r>
      <w:r w:rsidRPr="00E82FE8">
        <w:rPr>
          <w:szCs w:val="24"/>
          <w:shd w:val="clear" w:color="auto" w:fill="FFFFFF"/>
        </w:rPr>
        <w:t>) </w:t>
      </w:r>
      <w:r w:rsidR="00BB3888" w:rsidRPr="00E82FE8">
        <w:rPr>
          <w:szCs w:val="24"/>
          <w:shd w:val="clear" w:color="auto" w:fill="FFFFFF"/>
        </w:rPr>
        <w:t>F</w:t>
      </w:r>
      <w:r w:rsidRPr="00E82FE8">
        <w:rPr>
          <w:szCs w:val="24"/>
          <w:shd w:val="clear" w:color="auto" w:fill="FFFFFF"/>
        </w:rPr>
        <w:t>ederal or state agencies engaged in national security, intelligence, or law enforcement activity; (</w:t>
      </w:r>
      <w:r w:rsidR="00BB3888" w:rsidRPr="00E82FE8">
        <w:rPr>
          <w:szCs w:val="24"/>
          <w:shd w:val="clear" w:color="auto" w:fill="FFFFFF"/>
        </w:rPr>
        <w:t>b</w:t>
      </w:r>
      <w:r w:rsidRPr="00E82FE8">
        <w:rPr>
          <w:szCs w:val="24"/>
          <w:shd w:val="clear" w:color="auto" w:fill="FFFFFF"/>
        </w:rPr>
        <w:t>) </w:t>
      </w:r>
      <w:r w:rsidR="00BB3888" w:rsidRPr="00E82FE8">
        <w:rPr>
          <w:szCs w:val="24"/>
          <w:shd w:val="clear" w:color="auto" w:fill="FFFFFF"/>
        </w:rPr>
        <w:t>Federal</w:t>
      </w:r>
      <w:r w:rsidRPr="00E82FE8">
        <w:rPr>
          <w:szCs w:val="24"/>
          <w:shd w:val="clear" w:color="auto" w:fill="FFFFFF"/>
        </w:rPr>
        <w:t xml:space="preserve"> agenc</w:t>
      </w:r>
      <w:r w:rsidR="00BB3888" w:rsidRPr="00E82FE8">
        <w:rPr>
          <w:szCs w:val="24"/>
          <w:shd w:val="clear" w:color="auto" w:fill="FFFFFF"/>
        </w:rPr>
        <w:t xml:space="preserve">ies acting </w:t>
      </w:r>
      <w:r w:rsidRPr="00E82FE8">
        <w:rPr>
          <w:szCs w:val="24"/>
          <w:shd w:val="clear" w:color="auto" w:fill="FFFFFF"/>
        </w:rPr>
        <w:t xml:space="preserve">on behalf of </w:t>
      </w:r>
      <w:r w:rsidR="00BB3888" w:rsidRPr="00E82FE8">
        <w:rPr>
          <w:szCs w:val="24"/>
          <w:shd w:val="clear" w:color="auto" w:fill="FFFFFF"/>
        </w:rPr>
        <w:t xml:space="preserve">certain </w:t>
      </w:r>
      <w:r w:rsidRPr="00E82FE8">
        <w:rPr>
          <w:szCs w:val="24"/>
          <w:shd w:val="clear" w:color="auto" w:fill="FFFFFF"/>
        </w:rPr>
        <w:t>foreign authorities; (</w:t>
      </w:r>
      <w:r w:rsidR="00BB3888" w:rsidRPr="00E82FE8">
        <w:rPr>
          <w:szCs w:val="24"/>
          <w:shd w:val="clear" w:color="auto" w:fill="FFFFFF"/>
        </w:rPr>
        <w:t>c</w:t>
      </w:r>
      <w:r w:rsidRPr="00E82FE8">
        <w:rPr>
          <w:szCs w:val="24"/>
          <w:shd w:val="clear" w:color="auto" w:fill="FFFFFF"/>
        </w:rPr>
        <w:t>) </w:t>
      </w:r>
      <w:r w:rsidR="00BB3888" w:rsidRPr="00E82FE8">
        <w:rPr>
          <w:szCs w:val="24"/>
          <w:shd w:val="clear" w:color="auto" w:fill="FFFFFF"/>
        </w:rPr>
        <w:t>U.S</w:t>
      </w:r>
      <w:r w:rsidR="005C3C81" w:rsidRPr="00E82FE8">
        <w:rPr>
          <w:szCs w:val="24"/>
          <w:shd w:val="clear" w:color="auto" w:fill="FFFFFF"/>
        </w:rPr>
        <w:t>.</w:t>
      </w:r>
      <w:r w:rsidRPr="00E82FE8">
        <w:rPr>
          <w:szCs w:val="24"/>
          <w:shd w:val="clear" w:color="auto" w:fill="FFFFFF"/>
        </w:rPr>
        <w:t xml:space="preserve"> financial institution</w:t>
      </w:r>
      <w:r w:rsidR="00BB3888" w:rsidRPr="00E82FE8">
        <w:rPr>
          <w:szCs w:val="24"/>
          <w:shd w:val="clear" w:color="auto" w:fill="FFFFFF"/>
        </w:rPr>
        <w:t>s</w:t>
      </w:r>
      <w:r w:rsidRPr="00E82FE8">
        <w:rPr>
          <w:szCs w:val="24"/>
          <w:shd w:val="clear" w:color="auto" w:fill="FFFFFF"/>
        </w:rPr>
        <w:t xml:space="preserve"> “subject to consumer due diligence requirements” with the consent of the reporting company;</w:t>
      </w:r>
      <w:r w:rsidR="00E52AEB" w:rsidRPr="00E82FE8">
        <w:rPr>
          <w:rStyle w:val="FootnoteReference"/>
          <w:szCs w:val="24"/>
          <w:shd w:val="clear" w:color="auto" w:fill="FFFFFF"/>
        </w:rPr>
        <w:footnoteReference w:id="32"/>
      </w:r>
      <w:r w:rsidRPr="00E82FE8">
        <w:rPr>
          <w:szCs w:val="24"/>
          <w:shd w:val="clear" w:color="auto" w:fill="FFFFFF"/>
        </w:rPr>
        <w:t xml:space="preserve"> or (</w:t>
      </w:r>
      <w:r w:rsidR="00BB3888" w:rsidRPr="00E82FE8">
        <w:rPr>
          <w:szCs w:val="24"/>
          <w:shd w:val="clear" w:color="auto" w:fill="FFFFFF"/>
        </w:rPr>
        <w:t>d</w:t>
      </w:r>
      <w:r w:rsidRPr="00E82FE8">
        <w:rPr>
          <w:szCs w:val="24"/>
          <w:shd w:val="clear" w:color="auto" w:fill="FFFFFF"/>
        </w:rPr>
        <w:t>) a “Federal functional regulator” or other regulatory agency to assess or otherwise ascertain compliance of financial institutions.</w:t>
      </w:r>
      <w:r w:rsidR="00B97190" w:rsidRPr="00E82FE8">
        <w:rPr>
          <w:rStyle w:val="FootnoteReference"/>
          <w:szCs w:val="24"/>
          <w:shd w:val="clear" w:color="auto" w:fill="FFFFFF"/>
        </w:rPr>
        <w:footnoteReference w:id="33"/>
      </w:r>
      <w:r w:rsidRPr="00E82FE8">
        <w:rPr>
          <w:szCs w:val="24"/>
          <w:shd w:val="clear" w:color="auto" w:fill="FFFFFF"/>
        </w:rPr>
        <w:t xml:space="preserve"> </w:t>
      </w:r>
    </w:p>
    <w:p w14:paraId="06F19F10" w14:textId="269F075D" w:rsidR="009E3419" w:rsidRPr="00E82FE8" w:rsidRDefault="00BB3888" w:rsidP="000B5464">
      <w:pPr>
        <w:pStyle w:val="PlainText"/>
        <w:autoSpaceDE w:val="0"/>
        <w:autoSpaceDN w:val="0"/>
        <w:adjustRightInd w:val="0"/>
        <w:spacing w:before="120"/>
        <w:rPr>
          <w:rFonts w:cs="Times New Roman"/>
          <w:szCs w:val="24"/>
        </w:rPr>
      </w:pPr>
      <w:r w:rsidRPr="00E82FE8">
        <w:rPr>
          <w:rFonts w:cs="Times New Roman"/>
          <w:szCs w:val="24"/>
          <w:shd w:val="clear" w:color="auto" w:fill="FFFFFF"/>
        </w:rPr>
        <w:t xml:space="preserve">The reports </w:t>
      </w:r>
      <w:r w:rsidR="00B37601" w:rsidRPr="00E82FE8">
        <w:rPr>
          <w:rFonts w:cs="Times New Roman"/>
          <w:szCs w:val="24"/>
          <w:shd w:val="clear" w:color="auto" w:fill="FFFFFF"/>
        </w:rPr>
        <w:t>cover (</w:t>
      </w:r>
      <w:r w:rsidR="00812A51" w:rsidRPr="00E82FE8">
        <w:rPr>
          <w:rFonts w:cs="Times New Roman"/>
          <w:szCs w:val="24"/>
          <w:shd w:val="clear" w:color="auto" w:fill="FFFFFF"/>
        </w:rPr>
        <w:t>e</w:t>
      </w:r>
      <w:r w:rsidR="00B37601" w:rsidRPr="00E82FE8">
        <w:rPr>
          <w:rFonts w:cs="Times New Roman"/>
          <w:szCs w:val="24"/>
          <w:shd w:val="clear" w:color="auto" w:fill="FFFFFF"/>
        </w:rPr>
        <w:t xml:space="preserve">) beneficial owners with “substantial control” over the entity </w:t>
      </w:r>
      <w:r w:rsidR="00B37601" w:rsidRPr="00E82FE8">
        <w:rPr>
          <w:rStyle w:val="Emphasis"/>
          <w:rFonts w:cs="Times New Roman"/>
          <w:i w:val="0"/>
          <w:iCs w:val="0"/>
          <w:szCs w:val="24"/>
          <w:shd w:val="clear" w:color="auto" w:fill="FFFFFF"/>
        </w:rPr>
        <w:t>or</w:t>
      </w:r>
      <w:r w:rsidR="00B37601" w:rsidRPr="00E82FE8">
        <w:rPr>
          <w:rFonts w:cs="Times New Roman"/>
          <w:szCs w:val="24"/>
          <w:shd w:val="clear" w:color="auto" w:fill="FFFFFF"/>
        </w:rPr>
        <w:t xml:space="preserve"> ownership or control of 25% or more of the ownership interest</w:t>
      </w:r>
      <w:r w:rsidR="001D1259" w:rsidRPr="00E82FE8">
        <w:rPr>
          <w:rFonts w:cs="Times New Roman"/>
          <w:szCs w:val="24"/>
          <w:shd w:val="clear" w:color="auto" w:fill="FFFFFF"/>
        </w:rPr>
        <w:t>,</w:t>
      </w:r>
      <w:r w:rsidR="001D1259" w:rsidRPr="00E82FE8">
        <w:rPr>
          <w:rStyle w:val="FootnoteReference"/>
          <w:rFonts w:cs="Times New Roman"/>
          <w:szCs w:val="24"/>
          <w:shd w:val="clear" w:color="auto" w:fill="FFFFFF"/>
        </w:rPr>
        <w:footnoteReference w:id="34"/>
      </w:r>
      <w:r w:rsidR="00B37601" w:rsidRPr="00E82FE8">
        <w:rPr>
          <w:rFonts w:cs="Times New Roman"/>
          <w:szCs w:val="24"/>
          <w:shd w:val="clear" w:color="auto" w:fill="FFFFFF"/>
        </w:rPr>
        <w:t xml:space="preserve"> and (</w:t>
      </w:r>
      <w:r w:rsidR="00812A51" w:rsidRPr="00E82FE8">
        <w:rPr>
          <w:rFonts w:cs="Times New Roman"/>
          <w:szCs w:val="24"/>
          <w:shd w:val="clear" w:color="auto" w:fill="FFFFFF"/>
        </w:rPr>
        <w:t>f</w:t>
      </w:r>
      <w:r w:rsidR="00B37601" w:rsidRPr="00E82FE8">
        <w:rPr>
          <w:rFonts w:cs="Times New Roman"/>
          <w:szCs w:val="24"/>
          <w:shd w:val="clear" w:color="auto" w:fill="FFFFFF"/>
        </w:rPr>
        <w:t>) each individual with “significant responsibility to control, manage, or direct” the entity, including “an executive officer or senior manager (e.g., a Chief Executive Officer, Chief Financial Officer, Chief Operating Officer, Managing Member, General Partner, President, Vice President, or Treasurer), or any other individual who regularly performs similar functions.</w:t>
      </w:r>
      <w:r w:rsidR="00EC3CD6" w:rsidRPr="00E82FE8">
        <w:rPr>
          <w:rFonts w:cs="Times New Roman"/>
          <w:szCs w:val="24"/>
          <w:shd w:val="clear" w:color="auto" w:fill="FFFFFF"/>
        </w:rPr>
        <w:t>”</w:t>
      </w:r>
      <w:r w:rsidR="00B41FC1" w:rsidRPr="00E82FE8">
        <w:rPr>
          <w:rStyle w:val="FootnoteReference"/>
          <w:rFonts w:cs="Times New Roman"/>
          <w:szCs w:val="24"/>
          <w:shd w:val="clear" w:color="auto" w:fill="FFFFFF"/>
        </w:rPr>
        <w:footnoteReference w:id="35"/>
      </w:r>
      <w:r w:rsidR="00B37601" w:rsidRPr="00E82FE8">
        <w:rPr>
          <w:rFonts w:cs="Times New Roman"/>
          <w:szCs w:val="24"/>
          <w:shd w:val="clear" w:color="auto" w:fill="FFFFFF"/>
        </w:rPr>
        <w:t xml:space="preserve">  The reports will disclose </w:t>
      </w:r>
      <w:r w:rsidR="009E3419" w:rsidRPr="00E82FE8">
        <w:rPr>
          <w:rFonts w:cs="Times New Roman"/>
          <w:szCs w:val="24"/>
          <w:shd w:val="clear" w:color="auto" w:fill="FFFFFF"/>
        </w:rPr>
        <w:t xml:space="preserve">each beneficial owner’s </w:t>
      </w:r>
      <w:r w:rsidR="00290D79" w:rsidRPr="00E82FE8">
        <w:rPr>
          <w:rFonts w:eastAsia="Times New Roman"/>
          <w:szCs w:val="24"/>
        </w:rPr>
        <w:t>full legal name, date of birth, residential or business street address and unique identifying number from an acceptable source, such as a passport, driver's license or other government issued identifying number</w:t>
      </w:r>
      <w:r w:rsidR="009E3419" w:rsidRPr="00E82FE8">
        <w:rPr>
          <w:rFonts w:cs="Times New Roman"/>
          <w:szCs w:val="24"/>
          <w:shd w:val="clear" w:color="auto" w:fill="FFFFFF"/>
        </w:rPr>
        <w:t xml:space="preserve">. </w:t>
      </w:r>
    </w:p>
    <w:p w14:paraId="64CE6EE7" w14:textId="586F503A" w:rsidR="00812A51" w:rsidRPr="00E82FE8" w:rsidRDefault="00BB3888" w:rsidP="000B5464">
      <w:pPr>
        <w:pStyle w:val="PlainText"/>
        <w:autoSpaceDE w:val="0"/>
        <w:autoSpaceDN w:val="0"/>
        <w:adjustRightInd w:val="0"/>
        <w:spacing w:before="120"/>
        <w:rPr>
          <w:rFonts w:cs="Times New Roman"/>
          <w:szCs w:val="24"/>
          <w:shd w:val="clear" w:color="auto" w:fill="FFFFFF"/>
        </w:rPr>
      </w:pPr>
      <w:r w:rsidRPr="00E82FE8">
        <w:rPr>
          <w:rFonts w:cs="Times New Roman"/>
          <w:szCs w:val="24"/>
          <w:shd w:val="clear" w:color="auto" w:fill="FFFFFF"/>
        </w:rPr>
        <w:t xml:space="preserve">The </w:t>
      </w:r>
      <w:r w:rsidR="00EC3CD6" w:rsidRPr="00E82FE8">
        <w:rPr>
          <w:rFonts w:cs="Times New Roman"/>
          <w:szCs w:val="24"/>
          <w:shd w:val="clear" w:color="auto" w:fill="FFFFFF"/>
        </w:rPr>
        <w:t xml:space="preserve">FinCEN will implement the </w:t>
      </w:r>
      <w:r w:rsidRPr="00E82FE8">
        <w:rPr>
          <w:rFonts w:cs="Times New Roman"/>
          <w:szCs w:val="24"/>
          <w:shd w:val="clear" w:color="auto" w:fill="FFFFFF"/>
        </w:rPr>
        <w:t xml:space="preserve">CTA’s reporting </w:t>
      </w:r>
      <w:r w:rsidR="00EC3CD6" w:rsidRPr="00E82FE8">
        <w:rPr>
          <w:rFonts w:cs="Times New Roman"/>
          <w:szCs w:val="24"/>
          <w:shd w:val="clear" w:color="auto" w:fill="FFFFFF"/>
        </w:rPr>
        <w:t xml:space="preserve">requirements </w:t>
      </w:r>
      <w:r w:rsidRPr="00E82FE8">
        <w:rPr>
          <w:rFonts w:cs="Times New Roman"/>
          <w:szCs w:val="24"/>
          <w:shd w:val="clear" w:color="auto" w:fill="FFFFFF"/>
        </w:rPr>
        <w:t xml:space="preserve">by regulations due </w:t>
      </w:r>
      <w:r w:rsidR="00B616C5" w:rsidRPr="00E82FE8">
        <w:rPr>
          <w:rFonts w:cs="Times New Roman"/>
          <w:szCs w:val="24"/>
          <w:shd w:val="clear" w:color="auto" w:fill="FFFFFF"/>
        </w:rPr>
        <w:t xml:space="preserve">January 1, </w:t>
      </w:r>
      <w:r w:rsidRPr="00E82FE8">
        <w:rPr>
          <w:rFonts w:cs="Times New Roman"/>
          <w:szCs w:val="24"/>
          <w:shd w:val="clear" w:color="auto" w:fill="FFFFFF"/>
        </w:rPr>
        <w:t xml:space="preserve">2022.  </w:t>
      </w:r>
      <w:r w:rsidR="00811A21" w:rsidRPr="00E82FE8">
        <w:rPr>
          <w:rFonts w:cs="Times New Roman"/>
          <w:szCs w:val="24"/>
          <w:shd w:val="clear" w:color="auto" w:fill="FFFFFF"/>
        </w:rPr>
        <w:t xml:space="preserve">A reporting company formed after adoption of the implementing regulations must report upon formation.  </w:t>
      </w:r>
      <w:r w:rsidR="00CD1BC0" w:rsidRPr="00E82FE8">
        <w:rPr>
          <w:rFonts w:cs="Times New Roman"/>
          <w:szCs w:val="24"/>
          <w:shd w:val="clear" w:color="auto" w:fill="FFFFFF"/>
        </w:rPr>
        <w:t xml:space="preserve">A reporting company formed before January 1, 2021, must report within </w:t>
      </w:r>
      <w:r w:rsidRPr="00E82FE8">
        <w:rPr>
          <w:rFonts w:cs="Times New Roman"/>
          <w:szCs w:val="24"/>
          <w:shd w:val="clear" w:color="auto" w:fill="FFFFFF"/>
        </w:rPr>
        <w:t>two years</w:t>
      </w:r>
      <w:r w:rsidR="00CD1BC0" w:rsidRPr="00E82FE8">
        <w:rPr>
          <w:rFonts w:cs="Times New Roman"/>
          <w:szCs w:val="24"/>
          <w:shd w:val="clear" w:color="auto" w:fill="FFFFFF"/>
        </w:rPr>
        <w:t>.</w:t>
      </w:r>
      <w:r w:rsidR="0035208F" w:rsidRPr="00E82FE8">
        <w:rPr>
          <w:rStyle w:val="FootnoteReference"/>
          <w:rFonts w:cs="Times New Roman"/>
          <w:szCs w:val="24"/>
          <w:shd w:val="clear" w:color="auto" w:fill="FFFFFF"/>
        </w:rPr>
        <w:footnoteReference w:id="36"/>
      </w:r>
      <w:r w:rsidR="00CD1BC0" w:rsidRPr="00E82FE8">
        <w:rPr>
          <w:rFonts w:cs="Times New Roman"/>
          <w:szCs w:val="24"/>
          <w:shd w:val="clear" w:color="auto" w:fill="FFFFFF"/>
        </w:rPr>
        <w:t xml:space="preserve">  If the beneficial ownership information changes, the reporting company must file an amended report within one year.  </w:t>
      </w:r>
      <w:r w:rsidR="008B1E9C" w:rsidRPr="00E82FE8">
        <w:rPr>
          <w:rFonts w:cs="Times New Roman"/>
          <w:szCs w:val="24"/>
          <w:shd w:val="clear" w:color="auto" w:fill="FFFFFF"/>
        </w:rPr>
        <w:t>Reporting companies and beneficial owners may face fines and jail time for willfully failing to report or falsely reporting.</w:t>
      </w:r>
      <w:r w:rsidR="001D1259" w:rsidRPr="00E82FE8">
        <w:rPr>
          <w:rStyle w:val="FootnoteReference"/>
          <w:rFonts w:cs="Times New Roman"/>
          <w:szCs w:val="24"/>
          <w:shd w:val="clear" w:color="auto" w:fill="FFFFFF"/>
        </w:rPr>
        <w:footnoteReference w:id="37"/>
      </w:r>
      <w:r w:rsidR="008B1E9C" w:rsidRPr="00E82FE8">
        <w:rPr>
          <w:rFonts w:cs="Times New Roman"/>
          <w:szCs w:val="24"/>
          <w:shd w:val="clear" w:color="auto" w:fill="FFFFFF"/>
        </w:rPr>
        <w:t xml:space="preserve"> </w:t>
      </w:r>
    </w:p>
    <w:p w14:paraId="24F3AA17" w14:textId="77777777" w:rsidR="00090872" w:rsidRDefault="004234EB" w:rsidP="000B5464">
      <w:pPr>
        <w:pStyle w:val="PlainText"/>
        <w:autoSpaceDE w:val="0"/>
        <w:autoSpaceDN w:val="0"/>
        <w:adjustRightInd w:val="0"/>
        <w:spacing w:before="120"/>
        <w:rPr>
          <w:rFonts w:eastAsia="Times New Roman"/>
          <w:szCs w:val="24"/>
        </w:rPr>
      </w:pPr>
      <w:r w:rsidRPr="00E82FE8">
        <w:rPr>
          <w:rFonts w:cs="Times New Roman"/>
          <w:szCs w:val="24"/>
          <w:shd w:val="clear" w:color="auto" w:fill="FFFFFF"/>
        </w:rPr>
        <w:t xml:space="preserve">The </w:t>
      </w:r>
      <w:r w:rsidR="00812A51" w:rsidRPr="00E82FE8">
        <w:rPr>
          <w:rFonts w:cs="Times New Roman"/>
          <w:szCs w:val="24"/>
          <w:shd w:val="clear" w:color="auto" w:fill="FFFFFF"/>
        </w:rPr>
        <w:t xml:space="preserve">CTA’s reporting requirements </w:t>
      </w:r>
      <w:r w:rsidRPr="00E82FE8">
        <w:rPr>
          <w:rFonts w:cs="Times New Roman"/>
          <w:szCs w:val="24"/>
          <w:shd w:val="clear" w:color="auto" w:fill="FFFFFF"/>
        </w:rPr>
        <w:t xml:space="preserve">will not impose a </w:t>
      </w:r>
      <w:r w:rsidR="003D527E" w:rsidRPr="00E82FE8">
        <w:rPr>
          <w:rFonts w:cs="Times New Roman"/>
          <w:szCs w:val="24"/>
          <w:shd w:val="clear" w:color="auto" w:fill="FFFFFF"/>
        </w:rPr>
        <w:t xml:space="preserve">duty </w:t>
      </w:r>
      <w:r w:rsidRPr="00E82FE8">
        <w:rPr>
          <w:rFonts w:cs="Times New Roman"/>
          <w:szCs w:val="24"/>
          <w:shd w:val="clear" w:color="auto" w:fill="FFFFFF"/>
        </w:rPr>
        <w:t>directly upon attorneys or other professionals advising entities</w:t>
      </w:r>
      <w:r w:rsidR="003D527E" w:rsidRPr="00E82FE8">
        <w:rPr>
          <w:rFonts w:cs="Times New Roman"/>
          <w:szCs w:val="24"/>
          <w:shd w:val="clear" w:color="auto" w:fill="FFFFFF"/>
        </w:rPr>
        <w:t xml:space="preserve"> to make the reports</w:t>
      </w:r>
      <w:r w:rsidR="00812A51" w:rsidRPr="00E82FE8">
        <w:rPr>
          <w:rFonts w:cs="Times New Roman"/>
          <w:szCs w:val="24"/>
          <w:shd w:val="clear" w:color="auto" w:fill="FFFFFF"/>
        </w:rPr>
        <w:t xml:space="preserve">.  </w:t>
      </w:r>
      <w:r w:rsidR="003D527E" w:rsidRPr="00E82FE8">
        <w:rPr>
          <w:rFonts w:cs="Times New Roman"/>
          <w:szCs w:val="24"/>
          <w:shd w:val="clear" w:color="auto" w:fill="FFFFFF"/>
        </w:rPr>
        <w:t xml:space="preserve">The duty to report lies with the reporting company.  </w:t>
      </w:r>
      <w:r w:rsidR="00812A51" w:rsidRPr="00E82FE8">
        <w:rPr>
          <w:rFonts w:cs="Times New Roman"/>
          <w:szCs w:val="24"/>
          <w:shd w:val="clear" w:color="auto" w:fill="FFFFFF"/>
        </w:rPr>
        <w:t xml:space="preserve">But </w:t>
      </w:r>
      <w:r w:rsidR="00EC3CD6" w:rsidRPr="00E82FE8">
        <w:rPr>
          <w:rFonts w:cs="Times New Roman"/>
          <w:szCs w:val="24"/>
          <w:shd w:val="clear" w:color="auto" w:fill="FFFFFF"/>
        </w:rPr>
        <w:t xml:space="preserve">reporting will impact </w:t>
      </w:r>
      <w:r w:rsidRPr="00E82FE8">
        <w:rPr>
          <w:rFonts w:cs="Times New Roman"/>
          <w:szCs w:val="24"/>
          <w:shd w:val="clear" w:color="auto" w:fill="FFFFFF"/>
        </w:rPr>
        <w:t xml:space="preserve">attorneys </w:t>
      </w:r>
      <w:r w:rsidR="00EC3CD6" w:rsidRPr="00E82FE8">
        <w:rPr>
          <w:rFonts w:cs="Times New Roman"/>
          <w:szCs w:val="24"/>
          <w:shd w:val="clear" w:color="auto" w:fill="FFFFFF"/>
        </w:rPr>
        <w:t xml:space="preserve">who form </w:t>
      </w:r>
      <w:r w:rsidR="00290D79" w:rsidRPr="00E82FE8">
        <w:rPr>
          <w:rFonts w:cs="Times New Roman"/>
          <w:szCs w:val="24"/>
          <w:shd w:val="clear" w:color="auto" w:fill="FFFFFF"/>
        </w:rPr>
        <w:t>business entities</w:t>
      </w:r>
      <w:r w:rsidR="007325DF" w:rsidRPr="00E82FE8">
        <w:rPr>
          <w:rFonts w:cs="Times New Roman"/>
          <w:szCs w:val="24"/>
          <w:shd w:val="clear" w:color="auto" w:fill="FFFFFF"/>
        </w:rPr>
        <w:t xml:space="preserve">.  </w:t>
      </w:r>
      <w:r w:rsidR="00D566C8" w:rsidRPr="00E82FE8">
        <w:rPr>
          <w:rFonts w:cs="Times New Roman"/>
          <w:szCs w:val="24"/>
          <w:shd w:val="clear" w:color="auto" w:fill="FFFFFF"/>
        </w:rPr>
        <w:t>If an attorney files the formation documents for a reporting company</w:t>
      </w:r>
      <w:r w:rsidR="00D13192" w:rsidRPr="00E82FE8">
        <w:rPr>
          <w:rFonts w:cs="Times New Roman"/>
          <w:szCs w:val="24"/>
          <w:shd w:val="clear" w:color="auto" w:fill="FFFFFF"/>
        </w:rPr>
        <w:t>, the attorney</w:t>
      </w:r>
      <w:r w:rsidR="00D318A7" w:rsidRPr="00E82FE8">
        <w:rPr>
          <w:rFonts w:cs="Times New Roman"/>
          <w:szCs w:val="24"/>
          <w:shd w:val="clear" w:color="auto" w:fill="FFFFFF"/>
        </w:rPr>
        <w:t xml:space="preserve"> </w:t>
      </w:r>
      <w:r w:rsidR="009A77A5" w:rsidRPr="00E82FE8">
        <w:rPr>
          <w:rFonts w:cs="Times New Roman"/>
          <w:szCs w:val="24"/>
          <w:shd w:val="clear" w:color="auto" w:fill="FFFFFF"/>
        </w:rPr>
        <w:t xml:space="preserve">may be </w:t>
      </w:r>
      <w:r w:rsidR="00D318A7" w:rsidRPr="00E82FE8">
        <w:rPr>
          <w:rFonts w:cs="Times New Roman"/>
          <w:szCs w:val="24"/>
          <w:shd w:val="clear" w:color="auto" w:fill="FFFFFF"/>
        </w:rPr>
        <w:t>an “applicant” under the CTA.</w:t>
      </w:r>
      <w:r w:rsidR="009A77A5" w:rsidRPr="00E82FE8">
        <w:rPr>
          <w:rStyle w:val="FootnoteReference"/>
          <w:rFonts w:cs="Times New Roman"/>
          <w:szCs w:val="24"/>
          <w:shd w:val="clear" w:color="auto" w:fill="FFFFFF"/>
        </w:rPr>
        <w:footnoteReference w:id="38"/>
      </w:r>
      <w:r w:rsidR="00D318A7" w:rsidRPr="00E82FE8">
        <w:rPr>
          <w:rFonts w:cs="Times New Roman"/>
          <w:szCs w:val="24"/>
          <w:shd w:val="clear" w:color="auto" w:fill="FFFFFF"/>
        </w:rPr>
        <w:t xml:space="preserve">  In its report</w:t>
      </w:r>
      <w:r w:rsidR="00D566C8" w:rsidRPr="00E82FE8">
        <w:rPr>
          <w:rFonts w:cs="Times New Roman"/>
          <w:szCs w:val="24"/>
          <w:shd w:val="clear" w:color="auto" w:fill="FFFFFF"/>
        </w:rPr>
        <w:t xml:space="preserve">, the reporting company must identify the applicant and furnish the applicant’s </w:t>
      </w:r>
      <w:r w:rsidR="00D318A7" w:rsidRPr="00E82FE8">
        <w:rPr>
          <w:rFonts w:cs="Times New Roman"/>
          <w:szCs w:val="24"/>
          <w:shd w:val="clear" w:color="auto" w:fill="FFFFFF"/>
        </w:rPr>
        <w:t>name, date of birth, residential or business street address, and unique identifying number from an identification document (e.g, passport or driver’s license)</w:t>
      </w:r>
      <w:r w:rsidR="00D566C8" w:rsidRPr="00E82FE8">
        <w:rPr>
          <w:rFonts w:eastAsia="Times New Roman"/>
          <w:szCs w:val="24"/>
        </w:rPr>
        <w:t>.</w:t>
      </w:r>
      <w:r w:rsidR="007325DF" w:rsidRPr="00E82FE8">
        <w:rPr>
          <w:rStyle w:val="FootnoteReference"/>
          <w:rFonts w:eastAsia="Times New Roman"/>
          <w:szCs w:val="24"/>
        </w:rPr>
        <w:footnoteReference w:id="39"/>
      </w:r>
      <w:r w:rsidR="007325DF" w:rsidRPr="00E82FE8">
        <w:rPr>
          <w:rFonts w:eastAsia="Times New Roman"/>
          <w:szCs w:val="24"/>
        </w:rPr>
        <w:t xml:space="preserve">  </w:t>
      </w:r>
      <w:r w:rsidR="003D527E" w:rsidRPr="00E82FE8">
        <w:rPr>
          <w:rFonts w:eastAsia="Times New Roman"/>
          <w:szCs w:val="24"/>
        </w:rPr>
        <w:t>In other words, if the attorney is an applicant, the report will include the attorney’s person identifying information.</w:t>
      </w:r>
    </w:p>
    <w:p w14:paraId="4CE20F8A" w14:textId="7FC4335E" w:rsidR="00C356E1" w:rsidRPr="00E82FE8" w:rsidRDefault="00C356E1" w:rsidP="000B5464">
      <w:pPr>
        <w:pStyle w:val="PlainText"/>
        <w:autoSpaceDE w:val="0"/>
        <w:autoSpaceDN w:val="0"/>
        <w:adjustRightInd w:val="0"/>
        <w:spacing w:before="120"/>
        <w:rPr>
          <w:rFonts w:eastAsia="Times New Roman"/>
          <w:szCs w:val="24"/>
        </w:rPr>
      </w:pPr>
      <w:r w:rsidRPr="00E82FE8">
        <w:rPr>
          <w:rFonts w:eastAsia="Times New Roman"/>
          <w:szCs w:val="24"/>
        </w:rPr>
        <w:t>To limit exposure for false filings and disclosure of personal information, attorneys may take steps to avoid being an applicant.  Instead of filing as the incorporator or organizer, attorneys may insist that a corporate representative sign the formation documents.</w:t>
      </w:r>
    </w:p>
    <w:p w14:paraId="1731BBD3" w14:textId="77777777" w:rsidR="00090872" w:rsidRDefault="00A20A2E" w:rsidP="000B5464">
      <w:pPr>
        <w:pStyle w:val="PlainText"/>
        <w:autoSpaceDE w:val="0"/>
        <w:autoSpaceDN w:val="0"/>
        <w:adjustRightInd w:val="0"/>
        <w:spacing w:before="120"/>
        <w:rPr>
          <w:rFonts w:cs="Times New Roman"/>
          <w:szCs w:val="24"/>
          <w:shd w:val="clear" w:color="auto" w:fill="FFFFFF"/>
        </w:rPr>
      </w:pPr>
      <w:r w:rsidRPr="00E82FE8">
        <w:rPr>
          <w:rFonts w:cs="Times New Roman"/>
          <w:szCs w:val="24"/>
          <w:shd w:val="clear" w:color="auto" w:fill="FFFFFF"/>
        </w:rPr>
        <w:t xml:space="preserve">Regardless of whether they are applicants, </w:t>
      </w:r>
      <w:r w:rsidR="00D13192" w:rsidRPr="00E82FE8">
        <w:rPr>
          <w:rFonts w:cs="Times New Roman"/>
          <w:szCs w:val="24"/>
          <w:shd w:val="clear" w:color="auto" w:fill="FFFFFF"/>
        </w:rPr>
        <w:t>a</w:t>
      </w:r>
      <w:r w:rsidR="00D318A7" w:rsidRPr="00E82FE8">
        <w:rPr>
          <w:rFonts w:cs="Times New Roman"/>
          <w:szCs w:val="24"/>
          <w:shd w:val="clear" w:color="auto" w:fill="FFFFFF"/>
        </w:rPr>
        <w:t>ttorney</w:t>
      </w:r>
      <w:r w:rsidR="00D13192" w:rsidRPr="00E82FE8">
        <w:rPr>
          <w:rFonts w:cs="Times New Roman"/>
          <w:szCs w:val="24"/>
          <w:shd w:val="clear" w:color="auto" w:fill="FFFFFF"/>
        </w:rPr>
        <w:t>s practicing business law will likely add CTA report</w:t>
      </w:r>
      <w:r w:rsidR="00F71989" w:rsidRPr="00E82FE8">
        <w:rPr>
          <w:rFonts w:cs="Times New Roman"/>
          <w:szCs w:val="24"/>
          <w:shd w:val="clear" w:color="auto" w:fill="FFFFFF"/>
        </w:rPr>
        <w:t>ing</w:t>
      </w:r>
      <w:r w:rsidR="00D13192" w:rsidRPr="00E82FE8">
        <w:rPr>
          <w:rFonts w:cs="Times New Roman"/>
          <w:szCs w:val="24"/>
          <w:shd w:val="clear" w:color="auto" w:fill="FFFFFF"/>
        </w:rPr>
        <w:t xml:space="preserve"> to the other tasks in forming business entities.  That means they will </w:t>
      </w:r>
      <w:r w:rsidR="008B1E9C" w:rsidRPr="00E82FE8">
        <w:rPr>
          <w:rFonts w:cs="Times New Roman"/>
          <w:szCs w:val="24"/>
          <w:shd w:val="clear" w:color="auto" w:fill="FFFFFF"/>
        </w:rPr>
        <w:t xml:space="preserve">make professional judgments about who is a reporting company and beneficial owner and will </w:t>
      </w:r>
      <w:r w:rsidR="00D13192" w:rsidRPr="00E82FE8">
        <w:rPr>
          <w:rFonts w:cs="Times New Roman"/>
          <w:szCs w:val="24"/>
          <w:shd w:val="clear" w:color="auto" w:fill="FFFFFF"/>
        </w:rPr>
        <w:t>colle</w:t>
      </w:r>
      <w:r w:rsidR="008B1E9C" w:rsidRPr="00E82FE8">
        <w:rPr>
          <w:rFonts w:cs="Times New Roman"/>
          <w:szCs w:val="24"/>
          <w:shd w:val="clear" w:color="auto" w:fill="FFFFFF"/>
        </w:rPr>
        <w:t xml:space="preserve">ct the information required by the report.  </w:t>
      </w:r>
      <w:r w:rsidRPr="00E82FE8">
        <w:rPr>
          <w:rFonts w:cs="Times New Roman"/>
          <w:szCs w:val="24"/>
          <w:shd w:val="clear" w:color="auto" w:fill="FFFFFF"/>
        </w:rPr>
        <w:t xml:space="preserve">Since the CTA database is not publicly available, attorneys may be asked to confirm a client’s CTA compliance in financing, acquisitions and other business transactions.  That will require professional due diligence and </w:t>
      </w:r>
      <w:r w:rsidR="00130EA0" w:rsidRPr="00E82FE8">
        <w:rPr>
          <w:rFonts w:cs="Times New Roman"/>
          <w:szCs w:val="24"/>
          <w:shd w:val="clear" w:color="auto" w:fill="FFFFFF"/>
        </w:rPr>
        <w:t xml:space="preserve">officer certificates from the client.  </w:t>
      </w:r>
      <w:r w:rsidR="00F8497B" w:rsidRPr="00E82FE8">
        <w:rPr>
          <w:rFonts w:cs="Times New Roman"/>
          <w:szCs w:val="24"/>
          <w:shd w:val="clear" w:color="auto" w:fill="FFFFFF"/>
        </w:rPr>
        <w:t xml:space="preserve">At the least, companies must implement systems for </w:t>
      </w:r>
      <w:r w:rsidR="000D42B9" w:rsidRPr="00E82FE8">
        <w:rPr>
          <w:rFonts w:cs="Times New Roman"/>
          <w:szCs w:val="24"/>
          <w:shd w:val="clear" w:color="auto" w:fill="FFFFFF"/>
        </w:rPr>
        <w:t xml:space="preserve">updating their </w:t>
      </w:r>
      <w:r w:rsidR="00F8497B" w:rsidRPr="00E82FE8">
        <w:rPr>
          <w:rFonts w:cs="Times New Roman"/>
          <w:szCs w:val="24"/>
          <w:shd w:val="clear" w:color="auto" w:fill="FFFFFF"/>
        </w:rPr>
        <w:t>CTA reporting and will be expected to demonstrate CTA compliance</w:t>
      </w:r>
      <w:r w:rsidR="00D035CC" w:rsidRPr="00E82FE8">
        <w:rPr>
          <w:rFonts w:cs="Times New Roman"/>
          <w:szCs w:val="24"/>
          <w:shd w:val="clear" w:color="auto" w:fill="FFFFFF"/>
        </w:rPr>
        <w:t>.  A</w:t>
      </w:r>
      <w:r w:rsidR="00F8497B" w:rsidRPr="00E82FE8">
        <w:rPr>
          <w:rFonts w:cs="Times New Roman"/>
          <w:szCs w:val="24"/>
          <w:shd w:val="clear" w:color="auto" w:fill="FFFFFF"/>
        </w:rPr>
        <w:t>ttorneys will assist in that process.</w:t>
      </w:r>
    </w:p>
    <w:p w14:paraId="318281A1" w14:textId="32D10175" w:rsidR="00D35510" w:rsidRPr="00E82FE8" w:rsidRDefault="00D35510" w:rsidP="00D35510">
      <w:pPr>
        <w:pStyle w:val="Heading3"/>
        <w:rPr>
          <w:rFonts w:eastAsia="Times New Roman"/>
        </w:rPr>
      </w:pPr>
      <w:r w:rsidRPr="00E82FE8">
        <w:rPr>
          <w:rFonts w:eastAsia="Times New Roman"/>
        </w:rPr>
        <w:t>Other Developments</w:t>
      </w:r>
    </w:p>
    <w:p w14:paraId="396E2606" w14:textId="107ABBBA" w:rsidR="0017391A" w:rsidRPr="00E82FE8" w:rsidRDefault="0017391A" w:rsidP="0017391A">
      <w:pPr>
        <w:rPr>
          <w:shd w:val="clear" w:color="auto" w:fill="FAFAFA"/>
        </w:rPr>
      </w:pPr>
      <w:r w:rsidRPr="00E82FE8">
        <w:rPr>
          <w:shd w:val="clear" w:color="auto" w:fill="FAFAFA"/>
        </w:rPr>
        <w:t xml:space="preserve">The drive for stronger corporate governance is also seen in the state </w:t>
      </w:r>
      <w:r w:rsidR="00D17680" w:rsidRPr="00E82FE8">
        <w:rPr>
          <w:shd w:val="clear" w:color="auto" w:fill="FAFAFA"/>
        </w:rPr>
        <w:t xml:space="preserve">legislatures and </w:t>
      </w:r>
      <w:r w:rsidRPr="00E82FE8">
        <w:rPr>
          <w:shd w:val="clear" w:color="auto" w:fill="FAFAFA"/>
        </w:rPr>
        <w:t xml:space="preserve">courts.  </w:t>
      </w:r>
      <w:r w:rsidR="00D17680" w:rsidRPr="00E82FE8">
        <w:rPr>
          <w:shd w:val="clear" w:color="auto" w:fill="FAFAFA"/>
        </w:rPr>
        <w:t xml:space="preserve">For example, the Oklahoma Legislature authorized public benefit LLCs this year.  </w:t>
      </w:r>
      <w:r w:rsidRPr="00E82FE8">
        <w:rPr>
          <w:shd w:val="clear" w:color="auto" w:fill="FAFAFA"/>
        </w:rPr>
        <w:t xml:space="preserve">The Delaware courts </w:t>
      </w:r>
      <w:r w:rsidR="00D17680" w:rsidRPr="00E82FE8">
        <w:rPr>
          <w:shd w:val="clear" w:color="auto" w:fill="FAFAFA"/>
        </w:rPr>
        <w:t xml:space="preserve">have been </w:t>
      </w:r>
      <w:r w:rsidRPr="00E82FE8">
        <w:rPr>
          <w:shd w:val="clear" w:color="auto" w:fill="FAFAFA"/>
        </w:rPr>
        <w:t xml:space="preserve">active, particularly in the </w:t>
      </w:r>
      <w:r w:rsidRPr="00E82FE8">
        <w:rPr>
          <w:i/>
          <w:iCs/>
          <w:shd w:val="clear" w:color="auto" w:fill="FAFAFA"/>
        </w:rPr>
        <w:t>Caremark</w:t>
      </w:r>
      <w:r w:rsidRPr="00E82FE8">
        <w:rPr>
          <w:shd w:val="clear" w:color="auto" w:fill="FAFAFA"/>
        </w:rPr>
        <w:t xml:space="preserve"> decision</w:t>
      </w:r>
      <w:r w:rsidRPr="00E82FE8">
        <w:rPr>
          <w:rStyle w:val="FootnoteReference"/>
          <w:shd w:val="clear" w:color="auto" w:fill="FAFAFA"/>
        </w:rPr>
        <w:footnoteReference w:id="40"/>
      </w:r>
      <w:r w:rsidRPr="00E82FE8">
        <w:rPr>
          <w:shd w:val="clear" w:color="auto" w:fill="FAFAFA"/>
        </w:rPr>
        <w:t xml:space="preserve"> and its progeny, which expanded director responsibilities.  We have covered </w:t>
      </w:r>
      <w:r w:rsidR="00D367E2" w:rsidRPr="00E82FE8">
        <w:rPr>
          <w:shd w:val="clear" w:color="auto" w:fill="FAFAFA"/>
        </w:rPr>
        <w:t xml:space="preserve">some of </w:t>
      </w:r>
      <w:r w:rsidRPr="00E82FE8">
        <w:rPr>
          <w:shd w:val="clear" w:color="auto" w:fill="FAFAFA"/>
        </w:rPr>
        <w:t>these developments previously</w:t>
      </w:r>
      <w:r w:rsidR="00D367E2" w:rsidRPr="00E82FE8">
        <w:rPr>
          <w:shd w:val="clear" w:color="auto" w:fill="FAFAFA"/>
        </w:rPr>
        <w:t>,</w:t>
      </w:r>
      <w:r w:rsidRPr="00E82FE8">
        <w:rPr>
          <w:rStyle w:val="FootnoteReference"/>
          <w:shd w:val="clear" w:color="auto" w:fill="FAFAFA"/>
        </w:rPr>
        <w:footnoteReference w:id="41"/>
      </w:r>
      <w:r w:rsidRPr="00E82FE8">
        <w:rPr>
          <w:shd w:val="clear" w:color="auto" w:fill="FAFAFA"/>
        </w:rPr>
        <w:t xml:space="preserve"> </w:t>
      </w:r>
      <w:r w:rsidR="00D367E2" w:rsidRPr="00E82FE8">
        <w:rPr>
          <w:shd w:val="clear" w:color="auto" w:fill="FAFAFA"/>
        </w:rPr>
        <w:t xml:space="preserve">but </w:t>
      </w:r>
      <w:r w:rsidRPr="00E82FE8">
        <w:rPr>
          <w:shd w:val="clear" w:color="auto" w:fill="FAFAFA"/>
        </w:rPr>
        <w:t xml:space="preserve">have </w:t>
      </w:r>
      <w:r w:rsidR="000B5464" w:rsidRPr="00E82FE8">
        <w:rPr>
          <w:shd w:val="clear" w:color="auto" w:fill="FAFAFA"/>
        </w:rPr>
        <w:t xml:space="preserve">a </w:t>
      </w:r>
      <w:r w:rsidRPr="00E82FE8">
        <w:rPr>
          <w:shd w:val="clear" w:color="auto" w:fill="FAFAFA"/>
        </w:rPr>
        <w:t xml:space="preserve">new </w:t>
      </w:r>
      <w:r w:rsidRPr="00E82FE8">
        <w:rPr>
          <w:i/>
          <w:iCs/>
          <w:shd w:val="clear" w:color="auto" w:fill="FAFAFA"/>
        </w:rPr>
        <w:t>Caremark</w:t>
      </w:r>
      <w:r w:rsidRPr="00E82FE8">
        <w:rPr>
          <w:shd w:val="clear" w:color="auto" w:fill="FAFAFA"/>
        </w:rPr>
        <w:t xml:space="preserve"> case to discuss later in this paper.  We also have Oklahoma </w:t>
      </w:r>
      <w:r w:rsidR="00D367E2" w:rsidRPr="00E82FE8">
        <w:rPr>
          <w:shd w:val="clear" w:color="auto" w:fill="FAFAFA"/>
        </w:rPr>
        <w:t xml:space="preserve">and Delaware </w:t>
      </w:r>
      <w:r w:rsidRPr="00E82FE8">
        <w:rPr>
          <w:shd w:val="clear" w:color="auto" w:fill="FAFAFA"/>
        </w:rPr>
        <w:t xml:space="preserve">cases addressing corporate governance that we shall cover today. </w:t>
      </w:r>
    </w:p>
    <w:p w14:paraId="615A4556" w14:textId="77777777" w:rsidR="00D35510" w:rsidRPr="00E82FE8" w:rsidRDefault="00D35510" w:rsidP="00D35510">
      <w:pPr>
        <w:pStyle w:val="Heading4"/>
        <w:rPr>
          <w:rFonts w:eastAsia="Times New Roman"/>
        </w:rPr>
      </w:pPr>
      <w:r w:rsidRPr="00E82FE8">
        <w:rPr>
          <w:rFonts w:eastAsia="Times New Roman"/>
        </w:rPr>
        <w:t>New Oklahoma Legislation</w:t>
      </w:r>
    </w:p>
    <w:p w14:paraId="01E2501C" w14:textId="77777777" w:rsidR="00090872" w:rsidRDefault="00D35510" w:rsidP="00D35510">
      <w:r w:rsidRPr="00E82FE8">
        <w:rPr>
          <w:rFonts w:eastAsia="Times New Roman"/>
        </w:rPr>
        <w:t xml:space="preserve">The Legislature passed </w:t>
      </w:r>
      <w:r w:rsidR="008B1319" w:rsidRPr="00E82FE8">
        <w:rPr>
          <w:rFonts w:eastAsia="Times New Roman"/>
        </w:rPr>
        <w:t xml:space="preserve">this year </w:t>
      </w:r>
      <w:r w:rsidRPr="00E82FE8">
        <w:rPr>
          <w:rFonts w:eastAsia="Times New Roman"/>
        </w:rPr>
        <w:t xml:space="preserve">Senate Bill </w:t>
      </w:r>
      <w:r w:rsidR="004234EB" w:rsidRPr="00E82FE8">
        <w:rPr>
          <w:rFonts w:eastAsia="Times New Roman"/>
        </w:rPr>
        <w:t>228</w:t>
      </w:r>
      <w:r w:rsidRPr="00E82FE8">
        <w:rPr>
          <w:rFonts w:eastAsia="Times New Roman"/>
        </w:rPr>
        <w:t>,</w:t>
      </w:r>
      <w:r w:rsidRPr="00E82FE8">
        <w:rPr>
          <w:rStyle w:val="FootnoteReference"/>
          <w:rFonts w:eastAsia="Times New Roman"/>
        </w:rPr>
        <w:footnoteReference w:id="42"/>
      </w:r>
      <w:r w:rsidRPr="00E82FE8">
        <w:rPr>
          <w:rFonts w:eastAsia="Times New Roman"/>
        </w:rPr>
        <w:t xml:space="preserve"> which </w:t>
      </w:r>
      <w:r w:rsidR="00772915" w:rsidRPr="00E82FE8">
        <w:rPr>
          <w:rFonts w:eastAsia="Times New Roman"/>
        </w:rPr>
        <w:t xml:space="preserve">made changes in </w:t>
      </w:r>
      <w:r w:rsidRPr="00E82FE8">
        <w:t>the Oklahoma General Corporation Act (the “</w:t>
      </w:r>
      <w:r w:rsidRPr="00E82FE8">
        <w:rPr>
          <w:i/>
        </w:rPr>
        <w:t>OGCA</w:t>
      </w:r>
      <w:r w:rsidRPr="00E82FE8">
        <w:t>”)</w:t>
      </w:r>
      <w:r w:rsidRPr="00E82FE8">
        <w:rPr>
          <w:rStyle w:val="FootnoteReference"/>
        </w:rPr>
        <w:footnoteReference w:id="43"/>
      </w:r>
      <w:r w:rsidRPr="00E82FE8">
        <w:t xml:space="preserve"> the Oklahoma Limited Liability Company Act (the “</w:t>
      </w:r>
      <w:r w:rsidRPr="00E82FE8">
        <w:rPr>
          <w:i/>
        </w:rPr>
        <w:t>LLC Act</w:t>
      </w:r>
      <w:r w:rsidRPr="00E82FE8">
        <w:t>”)</w:t>
      </w:r>
      <w:r w:rsidR="00772915" w:rsidRPr="00E82FE8">
        <w:t>,</w:t>
      </w:r>
      <w:r w:rsidRPr="00E82FE8">
        <w:rPr>
          <w:rStyle w:val="FootnoteReference"/>
        </w:rPr>
        <w:footnoteReference w:id="44"/>
      </w:r>
      <w:r w:rsidRPr="00E82FE8">
        <w:t xml:space="preserve"> </w:t>
      </w:r>
      <w:r w:rsidR="00772915" w:rsidRPr="00E82FE8">
        <w:t>and the Uniform Limited Partnership Act of 2010 (the “</w:t>
      </w:r>
      <w:r w:rsidR="00772915" w:rsidRPr="00E82FE8">
        <w:rPr>
          <w:i/>
          <w:iCs/>
        </w:rPr>
        <w:t>ULPA</w:t>
      </w:r>
      <w:r w:rsidR="00772915" w:rsidRPr="00E82FE8">
        <w:t>”).</w:t>
      </w:r>
      <w:r w:rsidR="00772915" w:rsidRPr="00E82FE8">
        <w:rPr>
          <w:rStyle w:val="FootnoteReference"/>
        </w:rPr>
        <w:footnoteReference w:id="45"/>
      </w:r>
    </w:p>
    <w:p w14:paraId="33666334" w14:textId="77777777" w:rsidR="00090872" w:rsidRDefault="00D35510" w:rsidP="00D35510">
      <w:pPr>
        <w:rPr>
          <w:rFonts w:eastAsiaTheme="minorHAnsi"/>
        </w:rPr>
      </w:pPr>
      <w:r w:rsidRPr="00E82FE8">
        <w:t xml:space="preserve">The bill </w:t>
      </w:r>
      <w:r w:rsidR="004030C2" w:rsidRPr="00E82FE8">
        <w:t xml:space="preserve">continued the expanded use of electronic databases and </w:t>
      </w:r>
      <w:r w:rsidR="00F40796" w:rsidRPr="00E82FE8">
        <w:t xml:space="preserve">digital </w:t>
      </w:r>
      <w:r w:rsidR="004030C2" w:rsidRPr="00E82FE8">
        <w:t xml:space="preserve">forms of communication </w:t>
      </w:r>
      <w:r w:rsidR="00ED3C6F" w:rsidRPr="00E82FE8">
        <w:t xml:space="preserve">for Oklahoma corporations under </w:t>
      </w:r>
      <w:r w:rsidRPr="00E82FE8">
        <w:t xml:space="preserve">the </w:t>
      </w:r>
      <w:r w:rsidRPr="00E82FE8">
        <w:rPr>
          <w:iCs/>
        </w:rPr>
        <w:t>OGCA</w:t>
      </w:r>
      <w:r w:rsidR="00ED3C6F" w:rsidRPr="00E82FE8">
        <w:rPr>
          <w:iCs/>
        </w:rPr>
        <w:t>.</w:t>
      </w:r>
      <w:r w:rsidR="009B0BE2" w:rsidRPr="00E82FE8">
        <w:rPr>
          <w:rStyle w:val="FootnoteReference"/>
          <w:rFonts w:eastAsia="Times New Roman"/>
          <w:szCs w:val="24"/>
        </w:rPr>
        <w:t xml:space="preserve"> </w:t>
      </w:r>
      <w:r w:rsidR="009B0BE2" w:rsidRPr="00E82FE8">
        <w:rPr>
          <w:rStyle w:val="FootnoteReference"/>
          <w:rFonts w:eastAsia="Times New Roman"/>
          <w:szCs w:val="24"/>
        </w:rPr>
        <w:footnoteReference w:id="46"/>
      </w:r>
      <w:r w:rsidR="009B0BE2" w:rsidRPr="00E82FE8">
        <w:rPr>
          <w:rFonts w:eastAsia="Times New Roman"/>
          <w:szCs w:val="24"/>
        </w:rPr>
        <w:t xml:space="preserve"> </w:t>
      </w:r>
      <w:r w:rsidR="00ED3C6F" w:rsidRPr="00E82FE8">
        <w:rPr>
          <w:iCs/>
        </w:rPr>
        <w:t xml:space="preserve"> The bill </w:t>
      </w:r>
      <w:r w:rsidRPr="00E82FE8">
        <w:t>provide</w:t>
      </w:r>
      <w:r w:rsidR="00ED3C6F" w:rsidRPr="00E82FE8">
        <w:t>d</w:t>
      </w:r>
      <w:r w:rsidRPr="00E82FE8">
        <w:t xml:space="preserve"> statutory authority for corporations to use networks of electronic databases, such as “distributed ledgers” or a “blockchain”, for the creation and maintenance of their corporate records, including their stock ledgers.  </w:t>
      </w:r>
      <w:r w:rsidR="00ED3C6F" w:rsidRPr="00E82FE8">
        <w:t xml:space="preserve">The bill introduced a </w:t>
      </w:r>
      <w:r w:rsidR="003E4953" w:rsidRPr="00E82FE8">
        <w:t xml:space="preserve">non-exclusive, </w:t>
      </w:r>
      <w:r w:rsidR="004030C2" w:rsidRPr="00E82FE8">
        <w:rPr>
          <w:rFonts w:eastAsiaTheme="minorHAnsi"/>
        </w:rPr>
        <w:t xml:space="preserve">safe harbor method </w:t>
      </w:r>
      <w:r w:rsidR="003E4953" w:rsidRPr="00E82FE8">
        <w:rPr>
          <w:rFonts w:eastAsiaTheme="minorHAnsi"/>
        </w:rPr>
        <w:t xml:space="preserve">providing that corporate </w:t>
      </w:r>
      <w:r w:rsidR="004030C2" w:rsidRPr="00E82FE8">
        <w:rPr>
          <w:rFonts w:eastAsiaTheme="minorHAnsi"/>
        </w:rPr>
        <w:t xml:space="preserve">acts or transactions </w:t>
      </w:r>
      <w:r w:rsidR="003E4953" w:rsidRPr="00E82FE8">
        <w:rPr>
          <w:rFonts w:eastAsiaTheme="minorHAnsi"/>
        </w:rPr>
        <w:t>evidenced by a written document may be evidenced by an electronic document</w:t>
      </w:r>
      <w:r w:rsidR="00E969F5" w:rsidRPr="00E82FE8">
        <w:rPr>
          <w:rFonts w:eastAsiaTheme="minorHAnsi"/>
        </w:rPr>
        <w:t>,</w:t>
      </w:r>
      <w:r w:rsidR="003E4953" w:rsidRPr="00E82FE8">
        <w:rPr>
          <w:rFonts w:eastAsiaTheme="minorHAnsi"/>
        </w:rPr>
        <w:t xml:space="preserve"> </w:t>
      </w:r>
      <w:r w:rsidR="004030C2" w:rsidRPr="00E82FE8">
        <w:rPr>
          <w:rFonts w:eastAsiaTheme="minorHAnsi"/>
        </w:rPr>
        <w:t>and document</w:t>
      </w:r>
      <w:r w:rsidR="00ED3C6F" w:rsidRPr="00E82FE8">
        <w:rPr>
          <w:rFonts w:eastAsiaTheme="minorHAnsi"/>
        </w:rPr>
        <w:t>s</w:t>
      </w:r>
      <w:r w:rsidR="004030C2" w:rsidRPr="00E82FE8">
        <w:rPr>
          <w:rFonts w:eastAsiaTheme="minorHAnsi"/>
        </w:rPr>
        <w:t xml:space="preserve"> </w:t>
      </w:r>
      <w:r w:rsidR="00EA1558" w:rsidRPr="00E82FE8">
        <w:rPr>
          <w:rFonts w:eastAsiaTheme="minorHAnsi"/>
        </w:rPr>
        <w:t xml:space="preserve">may be signed and delivered </w:t>
      </w:r>
      <w:r w:rsidR="004030C2" w:rsidRPr="00E82FE8">
        <w:rPr>
          <w:rFonts w:eastAsiaTheme="minorHAnsi"/>
        </w:rPr>
        <w:t>manually or electronically.</w:t>
      </w:r>
      <w:r w:rsidR="00ED3C6F" w:rsidRPr="00E82FE8">
        <w:rPr>
          <w:rStyle w:val="FootnoteReference"/>
          <w:rFonts w:eastAsiaTheme="minorHAnsi"/>
        </w:rPr>
        <w:footnoteReference w:id="47"/>
      </w:r>
      <w:r w:rsidR="004030C2" w:rsidRPr="00E82FE8">
        <w:rPr>
          <w:rFonts w:eastAsiaTheme="minorHAnsi"/>
        </w:rPr>
        <w:t xml:space="preserve"> </w:t>
      </w:r>
      <w:r w:rsidR="00ED3C6F" w:rsidRPr="00E82FE8">
        <w:rPr>
          <w:rFonts w:eastAsiaTheme="minorHAnsi"/>
        </w:rPr>
        <w:t xml:space="preserve"> </w:t>
      </w:r>
      <w:r w:rsidR="00EA1558" w:rsidRPr="00E82FE8">
        <w:rPr>
          <w:rFonts w:eastAsiaTheme="minorHAnsi"/>
        </w:rPr>
        <w:t>The safe harbor does not apply to certain documents, such as documents filed with the Secretary of State, stock ledgers, stock certificates</w:t>
      </w:r>
      <w:r w:rsidR="00096B4C" w:rsidRPr="00E82FE8">
        <w:rPr>
          <w:rFonts w:eastAsiaTheme="minorHAnsi"/>
        </w:rPr>
        <w:t xml:space="preserve">, notices under the OGCA, or shareholder ballots.  The exception for these documents does not </w:t>
      </w:r>
      <w:r w:rsidR="00A24FD8" w:rsidRPr="00E82FE8">
        <w:rPr>
          <w:rFonts w:eastAsiaTheme="minorHAnsi"/>
        </w:rPr>
        <w:t xml:space="preserve">imply </w:t>
      </w:r>
      <w:r w:rsidR="00F40796" w:rsidRPr="00E82FE8">
        <w:rPr>
          <w:rFonts w:eastAsiaTheme="minorHAnsi"/>
        </w:rPr>
        <w:t xml:space="preserve">that </w:t>
      </w:r>
      <w:r w:rsidR="00096B4C" w:rsidRPr="00E82FE8">
        <w:rPr>
          <w:rFonts w:eastAsiaTheme="minorHAnsi"/>
        </w:rPr>
        <w:t xml:space="preserve">they cannot be effected electronically.  The exception is made because the </w:t>
      </w:r>
      <w:r w:rsidR="00A24FD8" w:rsidRPr="00E82FE8">
        <w:rPr>
          <w:rFonts w:eastAsiaTheme="minorHAnsi"/>
        </w:rPr>
        <w:t xml:space="preserve">electronic </w:t>
      </w:r>
      <w:r w:rsidR="00096B4C" w:rsidRPr="00E82FE8">
        <w:rPr>
          <w:rFonts w:eastAsiaTheme="minorHAnsi"/>
        </w:rPr>
        <w:t xml:space="preserve">delivery and execution of these documents is addressed expressly in the </w:t>
      </w:r>
      <w:r w:rsidR="00A24FD8" w:rsidRPr="00E82FE8">
        <w:rPr>
          <w:rFonts w:eastAsiaTheme="minorHAnsi"/>
        </w:rPr>
        <w:t xml:space="preserve">OGCA </w:t>
      </w:r>
      <w:r w:rsidR="00096B4C" w:rsidRPr="00E82FE8">
        <w:rPr>
          <w:rFonts w:eastAsiaTheme="minorHAnsi"/>
        </w:rPr>
        <w:t>statutes dealing with these documents.</w:t>
      </w:r>
      <w:r w:rsidR="00096B4C" w:rsidRPr="00E82FE8">
        <w:rPr>
          <w:rStyle w:val="FootnoteReference"/>
          <w:rFonts w:eastAsiaTheme="minorHAnsi"/>
        </w:rPr>
        <w:footnoteReference w:id="48"/>
      </w:r>
    </w:p>
    <w:p w14:paraId="5A270B11" w14:textId="6227FEC9" w:rsidR="00BA623E" w:rsidRPr="00E82FE8" w:rsidRDefault="00BA623E" w:rsidP="00D35510">
      <w:pPr>
        <w:rPr>
          <w:rFonts w:eastAsiaTheme="minorHAnsi"/>
        </w:rPr>
      </w:pPr>
      <w:r w:rsidRPr="00E82FE8">
        <w:rPr>
          <w:rFonts w:eastAsiaTheme="minorHAnsi"/>
        </w:rPr>
        <w:t>The safe harbor provisions are designed to complement the provisions in the Oklahoma Uniform Electronic Transactions Act</w:t>
      </w:r>
      <w:r w:rsidR="00B368E1" w:rsidRPr="00E82FE8">
        <w:rPr>
          <w:rStyle w:val="FootnoteReference"/>
          <w:rFonts w:eastAsiaTheme="minorHAnsi"/>
        </w:rPr>
        <w:footnoteReference w:id="49"/>
      </w:r>
      <w:r w:rsidRPr="00E82FE8">
        <w:rPr>
          <w:rFonts w:eastAsiaTheme="minorHAnsi"/>
        </w:rPr>
        <w:t xml:space="preserve"> </w:t>
      </w:r>
      <w:r w:rsidR="00B368E1" w:rsidRPr="00E82FE8">
        <w:rPr>
          <w:rFonts w:eastAsiaTheme="minorHAnsi"/>
        </w:rPr>
        <w:t>and the Federal Electronic Signatures in Global and National Commerce Act</w:t>
      </w:r>
      <w:r w:rsidR="002B186A" w:rsidRPr="00E82FE8">
        <w:rPr>
          <w:rFonts w:eastAsiaTheme="minorHAnsi"/>
        </w:rPr>
        <w:t>.</w:t>
      </w:r>
      <w:r w:rsidR="002B6662" w:rsidRPr="00E82FE8">
        <w:rPr>
          <w:rStyle w:val="FootnoteReference"/>
          <w:rFonts w:eastAsiaTheme="minorHAnsi"/>
        </w:rPr>
        <w:footnoteReference w:id="50"/>
      </w:r>
      <w:r w:rsidR="00B368E1" w:rsidRPr="00E82FE8">
        <w:rPr>
          <w:rFonts w:eastAsiaTheme="minorHAnsi"/>
        </w:rPr>
        <w:t xml:space="preserve"> </w:t>
      </w:r>
    </w:p>
    <w:p w14:paraId="5F22DC77" w14:textId="714C30AC" w:rsidR="00D35510" w:rsidRPr="00E82FE8" w:rsidRDefault="00D35510" w:rsidP="00D35510">
      <w:pPr>
        <w:rPr>
          <w:rFonts w:eastAsia="Times New Roman"/>
        </w:rPr>
      </w:pPr>
      <w:r w:rsidRPr="00E82FE8">
        <w:t xml:space="preserve">Other </w:t>
      </w:r>
      <w:r w:rsidR="002B186A" w:rsidRPr="00E82FE8">
        <w:t xml:space="preserve">OGCA </w:t>
      </w:r>
      <w:r w:rsidRPr="00E82FE8">
        <w:t xml:space="preserve">amendments clarified the ratification of defective corporate acts and </w:t>
      </w:r>
      <w:r w:rsidR="00234CB9" w:rsidRPr="00E82FE8">
        <w:t xml:space="preserve">standardized terminology in the merger sections of </w:t>
      </w:r>
      <w:r w:rsidRPr="00E82FE8">
        <w:t>the OGCA.</w:t>
      </w:r>
      <w:r w:rsidR="00234CB9" w:rsidRPr="00E82FE8">
        <w:rPr>
          <w:rStyle w:val="FootnoteReference"/>
        </w:rPr>
        <w:footnoteReference w:id="51"/>
      </w:r>
      <w:r w:rsidRPr="00E82FE8">
        <w:t xml:space="preserve">  </w:t>
      </w:r>
      <w:r w:rsidR="00234CB9" w:rsidRPr="00E82FE8">
        <w:t xml:space="preserve">The conversion sections were amended to confirm that a domestic corporation may convert into a foreign corporation and vice versa.  </w:t>
      </w:r>
      <w:r w:rsidRPr="00E82FE8">
        <w:t>Most of these amendments were drawn from recent changes to the Delaware General Corporation Law, which is the statutory source for the OGCA.</w:t>
      </w:r>
    </w:p>
    <w:p w14:paraId="5770B478" w14:textId="6522E347" w:rsidR="00D35510" w:rsidRPr="00E82FE8" w:rsidRDefault="00D35510" w:rsidP="00D35510">
      <w:r w:rsidRPr="00E82FE8">
        <w:t>Changes to the LLC Act provided for the formation and operation of public benefit limited liability companies.</w:t>
      </w:r>
      <w:r w:rsidR="00DD2C60" w:rsidRPr="00E82FE8">
        <w:rPr>
          <w:rStyle w:val="FootnoteReference"/>
        </w:rPr>
        <w:footnoteReference w:id="52"/>
      </w:r>
      <w:r w:rsidRPr="00E82FE8">
        <w:t xml:space="preserve">  These LLCs are intended to produce a public benefit and to operate in a responsible and sustainable manner.  Authorizing public benefit LLCs comes on the heels of public benefit corporations, which </w:t>
      </w:r>
      <w:r w:rsidR="00A935D0" w:rsidRPr="00E82FE8">
        <w:t xml:space="preserve">Oklahoma </w:t>
      </w:r>
      <w:r w:rsidRPr="00E82FE8">
        <w:t xml:space="preserve">authorized in 2019. </w:t>
      </w:r>
    </w:p>
    <w:p w14:paraId="19C8475F" w14:textId="7AC622FA" w:rsidR="00D35510" w:rsidRPr="00E82FE8" w:rsidRDefault="00D35510" w:rsidP="00D35510">
      <w:r w:rsidRPr="00E82FE8">
        <w:t xml:space="preserve">Other LLC Act changes clarified that a foreign LLC may convert to a domestic LLC and vice versa.  The changes revised the definition of a “foreign jurisdiction” to include “the United States, a state, a tribal government, a foreign country or a political subdivision of a foreign country.”  The reference to “tribal government” is new, which </w:t>
      </w:r>
      <w:r w:rsidR="00234CB9" w:rsidRPr="00E82FE8">
        <w:t xml:space="preserve">confirms </w:t>
      </w:r>
      <w:r w:rsidRPr="00E82FE8">
        <w:t xml:space="preserve">that entities formed under tribal law can convert into Oklahoma entities and Oklahoma entities can convert into tribal entities. </w:t>
      </w:r>
    </w:p>
    <w:p w14:paraId="3366D0F1" w14:textId="6E33E598" w:rsidR="00D35510" w:rsidRPr="00E82FE8" w:rsidRDefault="00D35510" w:rsidP="00D35510">
      <w:r w:rsidRPr="00E82FE8">
        <w:t xml:space="preserve">Lastly, Senate Bill </w:t>
      </w:r>
      <w:r w:rsidR="008B1319" w:rsidRPr="00E82FE8">
        <w:t>228</w:t>
      </w:r>
      <w:r w:rsidRPr="00E82FE8">
        <w:t xml:space="preserve"> clarified that all types of partnerships can serve as registered agents under the U</w:t>
      </w:r>
      <w:r w:rsidR="00CF3E8B" w:rsidRPr="00E82FE8">
        <w:t>LPA and LLC Act</w:t>
      </w:r>
      <w:r w:rsidRPr="00E82FE8">
        <w:t xml:space="preserve">, including limited liability partnerships and limited liability limited partnerships. </w:t>
      </w:r>
    </w:p>
    <w:p w14:paraId="4E8168E0" w14:textId="77777777" w:rsidR="00090872" w:rsidRDefault="00D35510" w:rsidP="00D35510">
      <w:r w:rsidRPr="00E82FE8">
        <w:t xml:space="preserve">The amendments in Senate Bill </w:t>
      </w:r>
      <w:r w:rsidR="008B1319" w:rsidRPr="00E82FE8">
        <w:t>228</w:t>
      </w:r>
      <w:r w:rsidRPr="00E82FE8">
        <w:t xml:space="preserve"> became effective November 1, 2021.</w:t>
      </w:r>
    </w:p>
    <w:p w14:paraId="02B759E5" w14:textId="79F887DF" w:rsidR="007626D3" w:rsidRPr="00E82FE8" w:rsidRDefault="007626D3" w:rsidP="001E6579">
      <w:pPr>
        <w:pStyle w:val="Heading4"/>
        <w:rPr>
          <w:rFonts w:eastAsia="Times New Roman"/>
        </w:rPr>
      </w:pPr>
      <w:r w:rsidRPr="00E82FE8">
        <w:rPr>
          <w:rFonts w:eastAsia="Times New Roman"/>
        </w:rPr>
        <w:t>New Oklahoma Cases</w:t>
      </w:r>
    </w:p>
    <w:p w14:paraId="40C9C49C" w14:textId="4C63FCD7" w:rsidR="00BD3FAB" w:rsidRPr="00E82FE8" w:rsidRDefault="00FF2D36" w:rsidP="002538C5">
      <w:pPr>
        <w:rPr>
          <w:szCs w:val="24"/>
        </w:rPr>
      </w:pPr>
      <w:r w:rsidRPr="00E82FE8">
        <w:rPr>
          <w:i/>
          <w:iCs/>
          <w:szCs w:val="24"/>
        </w:rPr>
        <w:t>Trugreen Ltd. v. Okla. Landscape, Inc</w:t>
      </w:r>
      <w:r w:rsidRPr="00E82FE8">
        <w:rPr>
          <w:szCs w:val="24"/>
        </w:rPr>
        <w:t>.</w:t>
      </w:r>
      <w:r w:rsidR="00FD29E8" w:rsidRPr="00E82FE8">
        <w:rPr>
          <w:rStyle w:val="FootnoteReference"/>
          <w:szCs w:val="24"/>
        </w:rPr>
        <w:footnoteReference w:id="53"/>
      </w:r>
      <w:r w:rsidRPr="00E82FE8">
        <w:rPr>
          <w:szCs w:val="24"/>
        </w:rPr>
        <w:t xml:space="preserve"> involved Trugreen</w:t>
      </w:r>
      <w:r w:rsidR="005044E8" w:rsidRPr="00E82FE8">
        <w:rPr>
          <w:szCs w:val="24"/>
        </w:rPr>
        <w:t>’s</w:t>
      </w:r>
      <w:r w:rsidRPr="00E82FE8">
        <w:rPr>
          <w:szCs w:val="24"/>
        </w:rPr>
        <w:t xml:space="preserve"> attempt to stop some former employees from competing against it, soliciting its customers and using alleged confidential information.  The individual defendants worked at LawnAmerica when Trugreen bought LawnAmerica’s assets.  The assets include</w:t>
      </w:r>
      <w:r w:rsidR="005044E8" w:rsidRPr="00E82FE8">
        <w:rPr>
          <w:szCs w:val="24"/>
        </w:rPr>
        <w:t>d non-compete/non-solicitation agreements with the employees.  After the purchase, most of the individual employees continued to work for Trugreen and signed additional non-compete/non-solicitation and confidentiality agreements.  These employees eventually quit and started their own lawn care servicing businesses.  Trugreen sued claiming breach of contract, violation of trade secrets and tort</w:t>
      </w:r>
      <w:r w:rsidR="00B82092" w:rsidRPr="00E82FE8">
        <w:rPr>
          <w:szCs w:val="24"/>
        </w:rPr>
        <w:t>ious interference</w:t>
      </w:r>
      <w:r w:rsidR="005044E8" w:rsidRPr="00E82FE8">
        <w:rPr>
          <w:szCs w:val="24"/>
        </w:rPr>
        <w:t xml:space="preserve">. </w:t>
      </w:r>
    </w:p>
    <w:p w14:paraId="26D73864" w14:textId="77777777" w:rsidR="00090872" w:rsidRDefault="00255F7D" w:rsidP="002538C5">
      <w:pPr>
        <w:rPr>
          <w:szCs w:val="24"/>
        </w:rPr>
      </w:pPr>
      <w:r w:rsidRPr="00E82FE8">
        <w:rPr>
          <w:szCs w:val="24"/>
        </w:rPr>
        <w:t>The court first addressed the choice of law.  The LawnAmerica agreements provided for Oklahoma law.  The Trugreen agreements provided for Tennessee law.  The court applied Oklahoma law because the non-compete provisions violate Oklahoma public policy</w:t>
      </w:r>
      <w:r w:rsidR="00882286" w:rsidRPr="00E82FE8">
        <w:rPr>
          <w:szCs w:val="24"/>
        </w:rPr>
        <w:t>.  Public policy transcends the other standards for applying choice of law</w:t>
      </w:r>
      <w:r w:rsidR="003E3CCC" w:rsidRPr="00E82FE8">
        <w:rPr>
          <w:szCs w:val="24"/>
        </w:rPr>
        <w:t xml:space="preserve">. </w:t>
      </w:r>
      <w:r w:rsidR="00882286" w:rsidRPr="00E82FE8">
        <w:rPr>
          <w:szCs w:val="24"/>
        </w:rPr>
        <w:t xml:space="preserve"> Oklahoma law must control.</w:t>
      </w:r>
      <w:r w:rsidR="00882286" w:rsidRPr="00E82FE8">
        <w:rPr>
          <w:rStyle w:val="FootnoteReference"/>
          <w:szCs w:val="24"/>
        </w:rPr>
        <w:footnoteReference w:id="54"/>
      </w:r>
    </w:p>
    <w:p w14:paraId="406C831F" w14:textId="77777777" w:rsidR="00090872" w:rsidRDefault="00B22429" w:rsidP="002538C5">
      <w:pPr>
        <w:rPr>
          <w:szCs w:val="24"/>
        </w:rPr>
      </w:pPr>
      <w:r w:rsidRPr="00E82FE8">
        <w:rPr>
          <w:szCs w:val="24"/>
        </w:rPr>
        <w:t>The Oklahoma statutes clearly ban non-compete provisions.</w:t>
      </w:r>
      <w:r w:rsidR="00B0219E" w:rsidRPr="00E82FE8">
        <w:rPr>
          <w:rStyle w:val="FootnoteReference"/>
          <w:szCs w:val="24"/>
        </w:rPr>
        <w:footnoteReference w:id="55"/>
      </w:r>
      <w:r w:rsidRPr="00E82FE8">
        <w:rPr>
          <w:szCs w:val="24"/>
        </w:rPr>
        <w:t xml:space="preserve">  The statutes provide, however, a narrow exception for employee non-solicitations.  A non-solicitation clause is permissible if the employee is only restricted from directly soliciting the sale of goods or services from the established customers of </w:t>
      </w:r>
      <w:r w:rsidR="00E300EA" w:rsidRPr="00E82FE8">
        <w:rPr>
          <w:szCs w:val="24"/>
        </w:rPr>
        <w:t>the employer.</w:t>
      </w:r>
      <w:r w:rsidR="00B0219E" w:rsidRPr="00E82FE8">
        <w:rPr>
          <w:rStyle w:val="FootnoteReference"/>
          <w:szCs w:val="24"/>
        </w:rPr>
        <w:footnoteReference w:id="56"/>
      </w:r>
      <w:r w:rsidR="00E300EA" w:rsidRPr="00E82FE8">
        <w:rPr>
          <w:szCs w:val="24"/>
        </w:rPr>
        <w:t xml:space="preserve">  The Trugreen non-solicitation clause was much broader.  It would prohibit “indirect” solicitations, such as general advertising, and the sale of goods to any former customer, whether solicited or not.  The court held that this broader clause violated Oklahoma public policy.</w:t>
      </w:r>
    </w:p>
    <w:p w14:paraId="70FB4F9F" w14:textId="299B2879" w:rsidR="00E300EA" w:rsidRPr="00E82FE8" w:rsidRDefault="00E300EA" w:rsidP="002538C5">
      <w:pPr>
        <w:rPr>
          <w:szCs w:val="24"/>
        </w:rPr>
      </w:pPr>
      <w:r w:rsidRPr="00E82FE8">
        <w:rPr>
          <w:szCs w:val="24"/>
        </w:rPr>
        <w:t xml:space="preserve">The court then considered whether it should reform the Trugreen provisions to avoid a violation.  </w:t>
      </w:r>
      <w:r w:rsidR="001A4B41" w:rsidRPr="00E82FE8">
        <w:rPr>
          <w:szCs w:val="24"/>
        </w:rPr>
        <w:t>It declined to do so since reforming the agreement would require the deletion and substitution of material terms</w:t>
      </w:r>
      <w:r w:rsidR="007F7CDF" w:rsidRPr="00E82FE8">
        <w:rPr>
          <w:szCs w:val="24"/>
        </w:rPr>
        <w:t xml:space="preserve"> that the court could not presume would reflect the intent of the parties.  Thus, the court held that the Trugreen agreements were void as against public policy and incapable of reformation. </w:t>
      </w:r>
    </w:p>
    <w:p w14:paraId="0FFB578A" w14:textId="1274250B" w:rsidR="007F7CDF" w:rsidRPr="00E82FE8" w:rsidRDefault="007F7CDF" w:rsidP="002538C5">
      <w:pPr>
        <w:rPr>
          <w:szCs w:val="24"/>
        </w:rPr>
      </w:pPr>
      <w:r w:rsidRPr="00E82FE8">
        <w:rPr>
          <w:szCs w:val="24"/>
        </w:rPr>
        <w:t xml:space="preserve">The court turned next to the LawnAmerica agreements, which were governed by Oklahoma law.  </w:t>
      </w:r>
      <w:r w:rsidR="00C23AFC" w:rsidRPr="00E82FE8">
        <w:rPr>
          <w:szCs w:val="24"/>
        </w:rPr>
        <w:t xml:space="preserve">Trugreen contended that it acquired the agreements when it purchased the LawnAmerica assets.  The defendants argued that the agreements were </w:t>
      </w:r>
      <w:r w:rsidR="0046345D" w:rsidRPr="00E82FE8">
        <w:rPr>
          <w:szCs w:val="24"/>
        </w:rPr>
        <w:t>personal and not assignable without an express provision permitting assignment.</w:t>
      </w:r>
      <w:r w:rsidR="00692287" w:rsidRPr="00E82FE8">
        <w:rPr>
          <w:szCs w:val="24"/>
        </w:rPr>
        <w:t xml:space="preserve">  The court agreed.  </w:t>
      </w:r>
      <w:r w:rsidR="007E432C" w:rsidRPr="00E82FE8">
        <w:rPr>
          <w:szCs w:val="24"/>
        </w:rPr>
        <w:t>It held that n</w:t>
      </w:r>
      <w:r w:rsidR="00692287" w:rsidRPr="00E82FE8">
        <w:rPr>
          <w:szCs w:val="24"/>
        </w:rPr>
        <w:t>oncompet</w:t>
      </w:r>
      <w:r w:rsidR="00D07464" w:rsidRPr="00E82FE8">
        <w:rPr>
          <w:szCs w:val="24"/>
        </w:rPr>
        <w:t>e</w:t>
      </w:r>
      <w:r w:rsidR="001224AF" w:rsidRPr="00E82FE8">
        <w:rPr>
          <w:szCs w:val="24"/>
        </w:rPr>
        <w:t xml:space="preserve"> and </w:t>
      </w:r>
      <w:r w:rsidR="00692287" w:rsidRPr="00E82FE8">
        <w:rPr>
          <w:szCs w:val="24"/>
        </w:rPr>
        <w:t xml:space="preserve">nonsolicitation agreements are personal and may be assigned only with the consent of the parties.  The individual defendants had not consented to the assignment to Trugreen, and Trugreen could not enforce the agreements.  </w:t>
      </w:r>
      <w:r w:rsidR="001224AF" w:rsidRPr="00E82FE8">
        <w:rPr>
          <w:szCs w:val="24"/>
        </w:rPr>
        <w:t>The court further held that the terms of the agreements – four years for the noncompet</w:t>
      </w:r>
      <w:r w:rsidR="00D07464" w:rsidRPr="00E82FE8">
        <w:rPr>
          <w:szCs w:val="24"/>
        </w:rPr>
        <w:t>e</w:t>
      </w:r>
      <w:r w:rsidR="001224AF" w:rsidRPr="00E82FE8">
        <w:rPr>
          <w:szCs w:val="24"/>
        </w:rPr>
        <w:t xml:space="preserve"> and perpetual for the nonsolicitation – were unreasonable and unenforceable. </w:t>
      </w:r>
    </w:p>
    <w:p w14:paraId="790FEB07" w14:textId="77777777" w:rsidR="00090872" w:rsidRDefault="002A09A1" w:rsidP="002538C5">
      <w:pPr>
        <w:rPr>
          <w:szCs w:val="24"/>
        </w:rPr>
      </w:pPr>
      <w:r w:rsidRPr="00E82FE8">
        <w:rPr>
          <w:szCs w:val="24"/>
        </w:rPr>
        <w:t xml:space="preserve">The </w:t>
      </w:r>
      <w:r w:rsidRPr="00E82FE8">
        <w:rPr>
          <w:i/>
          <w:iCs/>
          <w:szCs w:val="24"/>
        </w:rPr>
        <w:t>Trugreen</w:t>
      </w:r>
      <w:r w:rsidRPr="00E82FE8">
        <w:rPr>
          <w:szCs w:val="24"/>
        </w:rPr>
        <w:t xml:space="preserve"> opinion is significant for the breadth of the issues addressed.  It covers choice of law, </w:t>
      </w:r>
      <w:r w:rsidR="001224AF" w:rsidRPr="00E82FE8">
        <w:rPr>
          <w:szCs w:val="24"/>
        </w:rPr>
        <w:t xml:space="preserve">the permissible scope of nonsolicitation agreements, </w:t>
      </w:r>
      <w:r w:rsidR="00872EF1" w:rsidRPr="00E82FE8">
        <w:rPr>
          <w:szCs w:val="24"/>
        </w:rPr>
        <w:t xml:space="preserve">the standard for contract reformation, </w:t>
      </w:r>
      <w:r w:rsidR="001224AF" w:rsidRPr="00E82FE8">
        <w:rPr>
          <w:szCs w:val="24"/>
        </w:rPr>
        <w:t xml:space="preserve">and </w:t>
      </w:r>
      <w:r w:rsidRPr="00E82FE8">
        <w:rPr>
          <w:szCs w:val="24"/>
        </w:rPr>
        <w:t xml:space="preserve">the </w:t>
      </w:r>
      <w:r w:rsidR="001224AF" w:rsidRPr="00E82FE8">
        <w:rPr>
          <w:szCs w:val="24"/>
        </w:rPr>
        <w:t>assignability of noncompet</w:t>
      </w:r>
      <w:r w:rsidR="00D07464" w:rsidRPr="00E82FE8">
        <w:rPr>
          <w:szCs w:val="24"/>
        </w:rPr>
        <w:t>e</w:t>
      </w:r>
      <w:r w:rsidR="001224AF" w:rsidRPr="00E82FE8">
        <w:rPr>
          <w:szCs w:val="24"/>
        </w:rPr>
        <w:t xml:space="preserve"> and nonsolicitation agreements.  </w:t>
      </w:r>
      <w:r w:rsidR="00B57ED5" w:rsidRPr="00E82FE8">
        <w:rPr>
          <w:szCs w:val="24"/>
        </w:rPr>
        <w:t xml:space="preserve">The </w:t>
      </w:r>
      <w:r w:rsidR="00657D2A" w:rsidRPr="00E82FE8">
        <w:rPr>
          <w:szCs w:val="24"/>
        </w:rPr>
        <w:t>court</w:t>
      </w:r>
      <w:r w:rsidR="003C2163" w:rsidRPr="00E82FE8">
        <w:rPr>
          <w:szCs w:val="24"/>
        </w:rPr>
        <w:t>’s</w:t>
      </w:r>
      <w:r w:rsidR="00657D2A" w:rsidRPr="00E82FE8">
        <w:rPr>
          <w:szCs w:val="24"/>
        </w:rPr>
        <w:t xml:space="preserve"> </w:t>
      </w:r>
      <w:r w:rsidR="00B57ED5" w:rsidRPr="00E82FE8">
        <w:rPr>
          <w:szCs w:val="24"/>
        </w:rPr>
        <w:t xml:space="preserve">opinion </w:t>
      </w:r>
      <w:r w:rsidR="00657D2A" w:rsidRPr="00E82FE8">
        <w:rPr>
          <w:szCs w:val="24"/>
        </w:rPr>
        <w:t>does so in a thorough and persuasive way.</w:t>
      </w:r>
    </w:p>
    <w:p w14:paraId="5C419568" w14:textId="1DEF1BF3" w:rsidR="007920FF" w:rsidRPr="00E82FE8" w:rsidRDefault="00496420" w:rsidP="00872EF1">
      <w:pPr>
        <w:rPr>
          <w:rStyle w:val="Strong"/>
          <w:b w:val="0"/>
          <w:bCs w:val="0"/>
          <w:szCs w:val="24"/>
          <w:shd w:val="clear" w:color="auto" w:fill="FFFFFF"/>
        </w:rPr>
      </w:pPr>
      <w:r w:rsidRPr="00E82FE8">
        <w:rPr>
          <w:rStyle w:val="Strong"/>
          <w:b w:val="0"/>
          <w:bCs w:val="0"/>
          <w:szCs w:val="24"/>
          <w:shd w:val="clear" w:color="auto" w:fill="FFFFFF"/>
        </w:rPr>
        <w:t xml:space="preserve">Contract interpretation is also at issue in </w:t>
      </w:r>
      <w:r w:rsidR="00872EF1" w:rsidRPr="00E82FE8">
        <w:rPr>
          <w:rStyle w:val="Strong"/>
          <w:b w:val="0"/>
          <w:bCs w:val="0"/>
          <w:i/>
          <w:iCs/>
          <w:szCs w:val="24"/>
          <w:shd w:val="clear" w:color="auto" w:fill="FFFFFF"/>
        </w:rPr>
        <w:t>Penn Grand Management, LLC v. HomeRiver Group, LLC</w:t>
      </w:r>
      <w:r w:rsidRPr="00E82FE8">
        <w:rPr>
          <w:rStyle w:val="Strong"/>
          <w:b w:val="0"/>
          <w:bCs w:val="0"/>
          <w:szCs w:val="24"/>
          <w:shd w:val="clear" w:color="auto" w:fill="FFFFFF"/>
        </w:rPr>
        <w:t>,</w:t>
      </w:r>
      <w:r w:rsidR="00872EF1" w:rsidRPr="00E82FE8">
        <w:rPr>
          <w:rStyle w:val="FootnoteReference"/>
          <w:szCs w:val="24"/>
          <w:shd w:val="clear" w:color="auto" w:fill="FFFFFF"/>
        </w:rPr>
        <w:t xml:space="preserve"> </w:t>
      </w:r>
      <w:r w:rsidR="00872EF1" w:rsidRPr="00E82FE8">
        <w:rPr>
          <w:rStyle w:val="FootnoteReference"/>
          <w:szCs w:val="24"/>
          <w:shd w:val="clear" w:color="auto" w:fill="FFFFFF"/>
        </w:rPr>
        <w:footnoteReference w:id="57"/>
      </w:r>
      <w:r w:rsidR="00872EF1" w:rsidRPr="00E82FE8">
        <w:rPr>
          <w:rStyle w:val="Strong"/>
          <w:b w:val="0"/>
          <w:bCs w:val="0"/>
          <w:szCs w:val="24"/>
          <w:shd w:val="clear" w:color="auto" w:fill="FFFFFF"/>
        </w:rPr>
        <w:t xml:space="preserve"> </w:t>
      </w:r>
      <w:r w:rsidRPr="00E82FE8">
        <w:rPr>
          <w:rStyle w:val="Strong"/>
          <w:b w:val="0"/>
          <w:bCs w:val="0"/>
          <w:szCs w:val="24"/>
          <w:shd w:val="clear" w:color="auto" w:fill="FFFFFF"/>
        </w:rPr>
        <w:t xml:space="preserve">which </w:t>
      </w:r>
      <w:r w:rsidR="00872EF1" w:rsidRPr="00E82FE8">
        <w:rPr>
          <w:rStyle w:val="Strong"/>
          <w:b w:val="0"/>
          <w:bCs w:val="0"/>
          <w:szCs w:val="24"/>
          <w:shd w:val="clear" w:color="auto" w:fill="FFFFFF"/>
        </w:rPr>
        <w:t>involve</w:t>
      </w:r>
      <w:r w:rsidR="006D0012" w:rsidRPr="00E82FE8">
        <w:rPr>
          <w:rStyle w:val="Strong"/>
          <w:b w:val="0"/>
          <w:bCs w:val="0"/>
          <w:szCs w:val="24"/>
          <w:shd w:val="clear" w:color="auto" w:fill="FFFFFF"/>
        </w:rPr>
        <w:t>d</w:t>
      </w:r>
      <w:r w:rsidR="00872EF1" w:rsidRPr="00E82FE8">
        <w:rPr>
          <w:rStyle w:val="Strong"/>
          <w:b w:val="0"/>
          <w:bCs w:val="0"/>
          <w:szCs w:val="24"/>
          <w:shd w:val="clear" w:color="auto" w:fill="FFFFFF"/>
        </w:rPr>
        <w:t xml:space="preserve"> the enforceability of a forum selection clause.  </w:t>
      </w:r>
      <w:r w:rsidRPr="00E82FE8">
        <w:rPr>
          <w:rStyle w:val="Strong"/>
          <w:b w:val="0"/>
          <w:bCs w:val="0"/>
          <w:szCs w:val="24"/>
          <w:shd w:val="clear" w:color="auto" w:fill="FFFFFF"/>
        </w:rPr>
        <w:t>Penn Grand owned an apartment complex and retained HomeRiver to manage the apartments under a property management agreement.  Penn Grand also retained HomeRiver to supervise a construction project at the apartments under a separate contract.  Penn Grand grew unhappy with HomeRiver’s work and terminated the relationships.  It then sued HomeRiver</w:t>
      </w:r>
      <w:r w:rsidR="007920FF" w:rsidRPr="00E82FE8">
        <w:rPr>
          <w:rStyle w:val="Strong"/>
          <w:b w:val="0"/>
          <w:bCs w:val="0"/>
          <w:szCs w:val="24"/>
          <w:shd w:val="clear" w:color="auto" w:fill="FFFFFF"/>
        </w:rPr>
        <w:t xml:space="preserve"> in Oklahoma alleging breach of contract and other claims.  HomeRiver filed a motion to dismiss arguing that the property management agreement required that claims must be brought in Tennessee.  The district court agreed and granted dismissal. </w:t>
      </w:r>
    </w:p>
    <w:p w14:paraId="25CB6A00" w14:textId="77777777" w:rsidR="00090872" w:rsidRDefault="007920FF" w:rsidP="00872EF1">
      <w:pPr>
        <w:rPr>
          <w:rStyle w:val="Strong"/>
          <w:b w:val="0"/>
          <w:bCs w:val="0"/>
          <w:szCs w:val="24"/>
          <w:shd w:val="clear" w:color="auto" w:fill="FFFFFF"/>
        </w:rPr>
      </w:pPr>
      <w:r w:rsidRPr="00E82FE8">
        <w:rPr>
          <w:rStyle w:val="Strong"/>
          <w:b w:val="0"/>
          <w:bCs w:val="0"/>
          <w:szCs w:val="24"/>
          <w:shd w:val="clear" w:color="auto" w:fill="FFFFFF"/>
        </w:rPr>
        <w:t xml:space="preserve">On appeal, the court </w:t>
      </w:r>
      <w:r w:rsidR="006D0012" w:rsidRPr="00E82FE8">
        <w:rPr>
          <w:rStyle w:val="Strong"/>
          <w:b w:val="0"/>
          <w:bCs w:val="0"/>
          <w:szCs w:val="24"/>
          <w:shd w:val="clear" w:color="auto" w:fill="FFFFFF"/>
        </w:rPr>
        <w:t xml:space="preserve">wrote </w:t>
      </w:r>
      <w:r w:rsidRPr="00E82FE8">
        <w:rPr>
          <w:rStyle w:val="Strong"/>
          <w:b w:val="0"/>
          <w:bCs w:val="0"/>
          <w:szCs w:val="24"/>
          <w:shd w:val="clear" w:color="auto" w:fill="FFFFFF"/>
        </w:rPr>
        <w:t xml:space="preserve">that </w:t>
      </w:r>
      <w:r w:rsidR="00E26F6F" w:rsidRPr="00E82FE8">
        <w:rPr>
          <w:rStyle w:val="Strong"/>
          <w:b w:val="0"/>
          <w:bCs w:val="0"/>
          <w:szCs w:val="24"/>
          <w:shd w:val="clear" w:color="auto" w:fill="FFFFFF"/>
        </w:rPr>
        <w:t xml:space="preserve">enforcement of a </w:t>
      </w:r>
      <w:r w:rsidRPr="00E82FE8">
        <w:rPr>
          <w:rStyle w:val="Strong"/>
          <w:b w:val="0"/>
          <w:bCs w:val="0"/>
          <w:szCs w:val="24"/>
          <w:shd w:val="clear" w:color="auto" w:fill="FFFFFF"/>
        </w:rPr>
        <w:t>forum selection clause</w:t>
      </w:r>
      <w:r w:rsidR="00E26F6F" w:rsidRPr="00E82FE8">
        <w:rPr>
          <w:rStyle w:val="Strong"/>
          <w:b w:val="0"/>
          <w:bCs w:val="0"/>
          <w:szCs w:val="24"/>
          <w:shd w:val="clear" w:color="auto" w:fill="FFFFFF"/>
        </w:rPr>
        <w:t xml:space="preserve"> starts with a review of the scope of the clause.  Does the clause cover the asserted claims?  The court should </w:t>
      </w:r>
      <w:r w:rsidR="00D46162" w:rsidRPr="00E82FE8">
        <w:rPr>
          <w:rStyle w:val="Strong"/>
          <w:b w:val="0"/>
          <w:bCs w:val="0"/>
          <w:szCs w:val="24"/>
          <w:shd w:val="clear" w:color="auto" w:fill="FFFFFF"/>
        </w:rPr>
        <w:t xml:space="preserve">not </w:t>
      </w:r>
      <w:r w:rsidR="00E26F6F" w:rsidRPr="00E82FE8">
        <w:rPr>
          <w:rStyle w:val="Strong"/>
          <w:b w:val="0"/>
          <w:bCs w:val="0"/>
          <w:szCs w:val="24"/>
          <w:shd w:val="clear" w:color="auto" w:fill="FFFFFF"/>
        </w:rPr>
        <w:t xml:space="preserve">consider a party’s private interests, such as </w:t>
      </w:r>
      <w:r w:rsidR="00D46162" w:rsidRPr="00E82FE8">
        <w:rPr>
          <w:rStyle w:val="Strong"/>
          <w:b w:val="0"/>
          <w:bCs w:val="0"/>
          <w:szCs w:val="24"/>
          <w:shd w:val="clear" w:color="auto" w:fill="FFFFFF"/>
        </w:rPr>
        <w:t>whether the forum is convenient.  The private interests were resolved when the parties agreed to the forum selection.</w:t>
      </w:r>
    </w:p>
    <w:p w14:paraId="450C2F8A" w14:textId="77777777" w:rsidR="00090872" w:rsidRDefault="00D46162" w:rsidP="00872EF1">
      <w:pPr>
        <w:rPr>
          <w:rStyle w:val="Strong"/>
          <w:b w:val="0"/>
          <w:bCs w:val="0"/>
          <w:szCs w:val="24"/>
          <w:shd w:val="clear" w:color="auto" w:fill="FFFFFF"/>
        </w:rPr>
      </w:pPr>
      <w:r w:rsidRPr="00E82FE8">
        <w:rPr>
          <w:rStyle w:val="Strong"/>
          <w:b w:val="0"/>
          <w:bCs w:val="0"/>
          <w:szCs w:val="24"/>
          <w:shd w:val="clear" w:color="auto" w:fill="FFFFFF"/>
        </w:rPr>
        <w:t xml:space="preserve">In the instant case, a review of the scope was dispositive.  </w:t>
      </w:r>
      <w:r w:rsidR="006D0012" w:rsidRPr="00E82FE8">
        <w:rPr>
          <w:rStyle w:val="Strong"/>
          <w:b w:val="0"/>
          <w:bCs w:val="0"/>
          <w:szCs w:val="24"/>
          <w:shd w:val="clear" w:color="auto" w:fill="FFFFFF"/>
        </w:rPr>
        <w:t xml:space="preserve">Only the property management agreement had a </w:t>
      </w:r>
      <w:r w:rsidRPr="00E82FE8">
        <w:rPr>
          <w:rStyle w:val="Strong"/>
          <w:b w:val="0"/>
          <w:bCs w:val="0"/>
          <w:szCs w:val="24"/>
          <w:shd w:val="clear" w:color="auto" w:fill="FFFFFF"/>
        </w:rPr>
        <w:t>forum selection clause.  The construction management agreement contain</w:t>
      </w:r>
      <w:r w:rsidR="00C80FBD" w:rsidRPr="00E82FE8">
        <w:rPr>
          <w:rStyle w:val="Strong"/>
          <w:b w:val="0"/>
          <w:bCs w:val="0"/>
          <w:szCs w:val="24"/>
          <w:shd w:val="clear" w:color="auto" w:fill="FFFFFF"/>
        </w:rPr>
        <w:t>ed</w:t>
      </w:r>
      <w:r w:rsidRPr="00E82FE8">
        <w:rPr>
          <w:rStyle w:val="Strong"/>
          <w:b w:val="0"/>
          <w:bCs w:val="0"/>
          <w:szCs w:val="24"/>
          <w:shd w:val="clear" w:color="auto" w:fill="FFFFFF"/>
        </w:rPr>
        <w:t xml:space="preserve"> no such clause, and the bulk of </w:t>
      </w:r>
      <w:r w:rsidR="00326F37" w:rsidRPr="00E82FE8">
        <w:rPr>
          <w:rStyle w:val="Strong"/>
          <w:b w:val="0"/>
          <w:bCs w:val="0"/>
          <w:szCs w:val="24"/>
          <w:shd w:val="clear" w:color="auto" w:fill="FFFFFF"/>
        </w:rPr>
        <w:t xml:space="preserve">plaintiff’s </w:t>
      </w:r>
      <w:r w:rsidR="00C80FBD" w:rsidRPr="00E82FE8">
        <w:rPr>
          <w:rStyle w:val="Strong"/>
          <w:b w:val="0"/>
          <w:bCs w:val="0"/>
          <w:szCs w:val="24"/>
          <w:shd w:val="clear" w:color="auto" w:fill="FFFFFF"/>
        </w:rPr>
        <w:t>claims related to construction management.  Penn Grand could pursue th</w:t>
      </w:r>
      <w:r w:rsidR="00C76AE5" w:rsidRPr="00E82FE8">
        <w:rPr>
          <w:rStyle w:val="Strong"/>
          <w:b w:val="0"/>
          <w:bCs w:val="0"/>
          <w:szCs w:val="24"/>
          <w:shd w:val="clear" w:color="auto" w:fill="FFFFFF"/>
        </w:rPr>
        <w:t>o</w:t>
      </w:r>
      <w:r w:rsidR="00C80FBD" w:rsidRPr="00E82FE8">
        <w:rPr>
          <w:rStyle w:val="Strong"/>
          <w:b w:val="0"/>
          <w:bCs w:val="0"/>
          <w:szCs w:val="24"/>
          <w:shd w:val="clear" w:color="auto" w:fill="FFFFFF"/>
        </w:rPr>
        <w:t>se claims in Oklahoma.  As to claims under the property management agreement, they must be pursued, if at all, in Tennessee.</w:t>
      </w:r>
      <w:r w:rsidR="00A421CB" w:rsidRPr="00E82FE8">
        <w:rPr>
          <w:rStyle w:val="FootnoteReference"/>
          <w:szCs w:val="24"/>
          <w:shd w:val="clear" w:color="auto" w:fill="FFFFFF"/>
        </w:rPr>
        <w:footnoteReference w:id="58"/>
      </w:r>
    </w:p>
    <w:p w14:paraId="3612DB1D" w14:textId="77777777" w:rsidR="00090872" w:rsidRDefault="00A421CB" w:rsidP="00A421CB">
      <w:pPr>
        <w:rPr>
          <w:rStyle w:val="Strong"/>
          <w:b w:val="0"/>
          <w:bCs w:val="0"/>
          <w:szCs w:val="24"/>
          <w:shd w:val="clear" w:color="auto" w:fill="FFFFFF"/>
        </w:rPr>
      </w:pPr>
      <w:r w:rsidRPr="00E82FE8">
        <w:rPr>
          <w:rStyle w:val="Strong"/>
          <w:b w:val="0"/>
          <w:bCs w:val="0"/>
          <w:i/>
          <w:iCs/>
          <w:szCs w:val="24"/>
          <w:shd w:val="clear" w:color="auto" w:fill="FFFFFF"/>
        </w:rPr>
        <w:t>KP Trucking v</w:t>
      </w:r>
      <w:r w:rsidR="00542804" w:rsidRPr="00E82FE8">
        <w:rPr>
          <w:rStyle w:val="Strong"/>
          <w:b w:val="0"/>
          <w:bCs w:val="0"/>
          <w:i/>
          <w:iCs/>
          <w:szCs w:val="24"/>
          <w:shd w:val="clear" w:color="auto" w:fill="FFFFFF"/>
        </w:rPr>
        <w:t>.</w:t>
      </w:r>
      <w:r w:rsidRPr="00E82FE8">
        <w:rPr>
          <w:rStyle w:val="Strong"/>
          <w:b w:val="0"/>
          <w:bCs w:val="0"/>
          <w:i/>
          <w:iCs/>
          <w:szCs w:val="24"/>
          <w:shd w:val="clear" w:color="auto" w:fill="FFFFFF"/>
        </w:rPr>
        <w:t xml:space="preserve"> Dept of Transportation</w:t>
      </w:r>
      <w:r w:rsidR="00542804" w:rsidRPr="00E82FE8">
        <w:rPr>
          <w:rStyle w:val="FootnoteReference"/>
          <w:szCs w:val="24"/>
          <w:shd w:val="clear" w:color="auto" w:fill="FFFFFF"/>
        </w:rPr>
        <w:footnoteReference w:id="59"/>
      </w:r>
      <w:r w:rsidRPr="00E82FE8">
        <w:rPr>
          <w:rStyle w:val="Strong"/>
          <w:b w:val="0"/>
          <w:bCs w:val="0"/>
          <w:szCs w:val="24"/>
          <w:shd w:val="clear" w:color="auto" w:fill="FFFFFF"/>
        </w:rPr>
        <w:t xml:space="preserve"> </w:t>
      </w:r>
      <w:r w:rsidR="00326F37" w:rsidRPr="00E82FE8">
        <w:rPr>
          <w:rStyle w:val="Strong"/>
          <w:b w:val="0"/>
          <w:bCs w:val="0"/>
          <w:szCs w:val="24"/>
          <w:shd w:val="clear" w:color="auto" w:fill="FFFFFF"/>
        </w:rPr>
        <w:t xml:space="preserve">deals with whether </w:t>
      </w:r>
      <w:r w:rsidR="00542804" w:rsidRPr="00E82FE8">
        <w:rPr>
          <w:rStyle w:val="Strong"/>
          <w:b w:val="0"/>
          <w:bCs w:val="0"/>
          <w:szCs w:val="24"/>
          <w:shd w:val="clear" w:color="auto" w:fill="FFFFFF"/>
        </w:rPr>
        <w:t xml:space="preserve">a Federal agency </w:t>
      </w:r>
      <w:r w:rsidR="00326F37" w:rsidRPr="00E82FE8">
        <w:rPr>
          <w:rStyle w:val="Strong"/>
          <w:b w:val="0"/>
          <w:bCs w:val="0"/>
          <w:szCs w:val="24"/>
          <w:shd w:val="clear" w:color="auto" w:fill="FFFFFF"/>
        </w:rPr>
        <w:t xml:space="preserve">can disregard the separate legal existence of two related companies and </w:t>
      </w:r>
      <w:r w:rsidRPr="00E82FE8">
        <w:rPr>
          <w:rStyle w:val="Strong"/>
          <w:b w:val="0"/>
          <w:bCs w:val="0"/>
          <w:szCs w:val="24"/>
          <w:shd w:val="clear" w:color="auto" w:fill="FFFFFF"/>
        </w:rPr>
        <w:t xml:space="preserve">combine </w:t>
      </w:r>
      <w:r w:rsidR="00326F37" w:rsidRPr="00E82FE8">
        <w:rPr>
          <w:rStyle w:val="Strong"/>
          <w:b w:val="0"/>
          <w:bCs w:val="0"/>
          <w:szCs w:val="24"/>
          <w:shd w:val="clear" w:color="auto" w:fill="FFFFFF"/>
        </w:rPr>
        <w:t xml:space="preserve">them </w:t>
      </w:r>
      <w:r w:rsidRPr="00E82FE8">
        <w:rPr>
          <w:rStyle w:val="Strong"/>
          <w:b w:val="0"/>
          <w:bCs w:val="0"/>
          <w:szCs w:val="24"/>
          <w:shd w:val="clear" w:color="auto" w:fill="FFFFFF"/>
        </w:rPr>
        <w:t>when it appears one was formed to circumvent the penalties imposed on another.</w:t>
      </w:r>
      <w:r w:rsidR="00542804" w:rsidRPr="00E82FE8">
        <w:rPr>
          <w:rStyle w:val="Strong"/>
          <w:b w:val="0"/>
          <w:bCs w:val="0"/>
          <w:szCs w:val="24"/>
          <w:shd w:val="clear" w:color="auto" w:fill="FFFFFF"/>
        </w:rPr>
        <w:t xml:space="preserve">  The case begins with Eagle Iron &amp; Metal, a trucking company that had registered with the Federal </w:t>
      </w:r>
      <w:r w:rsidR="00BD5B32" w:rsidRPr="00E82FE8">
        <w:rPr>
          <w:rStyle w:val="Strong"/>
          <w:b w:val="0"/>
          <w:bCs w:val="0"/>
          <w:szCs w:val="24"/>
          <w:shd w:val="clear" w:color="auto" w:fill="FFFFFF"/>
        </w:rPr>
        <w:t>Motor Carrier Safety Administration.  The Safety Administration had cited Eagle for safety violations and suspended its registration.  The Safety Administration then found that an Eagle affiliate, KP Trucking, had assumed Eagle’s operations.  The Safety Administration cited KP Trucking for safety violations, ordered both Eagle and KP Trucking to cease operations and consolidated their records finding that KP had continued Eagle’s operations to avoid</w:t>
      </w:r>
      <w:r w:rsidR="00995B99" w:rsidRPr="00E82FE8">
        <w:rPr>
          <w:rStyle w:val="Strong"/>
          <w:b w:val="0"/>
          <w:bCs w:val="0"/>
          <w:szCs w:val="24"/>
          <w:shd w:val="clear" w:color="auto" w:fill="FFFFFF"/>
        </w:rPr>
        <w:t xml:space="preserve"> the penalties imposed on Eagle</w:t>
      </w:r>
      <w:r w:rsidR="00BD5B32" w:rsidRPr="00E82FE8">
        <w:rPr>
          <w:rStyle w:val="Strong"/>
          <w:b w:val="0"/>
          <w:bCs w:val="0"/>
          <w:szCs w:val="24"/>
          <w:shd w:val="clear" w:color="auto" w:fill="FFFFFF"/>
        </w:rPr>
        <w:t xml:space="preserve">.  </w:t>
      </w:r>
      <w:r w:rsidR="00995B99" w:rsidRPr="00E82FE8">
        <w:rPr>
          <w:rStyle w:val="Strong"/>
          <w:b w:val="0"/>
          <w:bCs w:val="0"/>
          <w:szCs w:val="24"/>
          <w:shd w:val="clear" w:color="auto" w:fill="FFFFFF"/>
        </w:rPr>
        <w:t>KP Trucking challenged the Safety Administration’s findings.</w:t>
      </w:r>
    </w:p>
    <w:p w14:paraId="420CDF84" w14:textId="77777777" w:rsidR="00090872" w:rsidRDefault="00995B99" w:rsidP="00A421CB">
      <w:pPr>
        <w:rPr>
          <w:rStyle w:val="Strong"/>
          <w:b w:val="0"/>
          <w:bCs w:val="0"/>
          <w:szCs w:val="24"/>
          <w:shd w:val="clear" w:color="auto" w:fill="FFFFFF"/>
        </w:rPr>
      </w:pPr>
      <w:r w:rsidRPr="00E82FE8">
        <w:rPr>
          <w:rStyle w:val="Strong"/>
          <w:b w:val="0"/>
          <w:bCs w:val="0"/>
          <w:szCs w:val="24"/>
          <w:shd w:val="clear" w:color="auto" w:fill="FFFFFF"/>
        </w:rPr>
        <w:t xml:space="preserve">The Safety Administration’s based its findings largely upon the common ownership of Eagle and KP Trucking.  It also found that the two companies used the same drivers, trucks, shippers, telephone numbers, mailing addresses and email addresses.  The companies shared management and the same facilities.  </w:t>
      </w:r>
      <w:r w:rsidR="006428F9" w:rsidRPr="00E82FE8">
        <w:rPr>
          <w:rStyle w:val="Strong"/>
          <w:b w:val="0"/>
          <w:bCs w:val="0"/>
          <w:szCs w:val="24"/>
          <w:shd w:val="clear" w:color="auto" w:fill="FFFFFF"/>
        </w:rPr>
        <w:t>Upon review, the court determined that the Safety Administration’s findings were adequately supported by the record and that a consolidation of the two companies was proper.</w:t>
      </w:r>
    </w:p>
    <w:p w14:paraId="544F8308" w14:textId="0C6CB949" w:rsidR="004353C2" w:rsidRPr="00E82FE8" w:rsidRDefault="0004410F" w:rsidP="001E6579">
      <w:pPr>
        <w:pStyle w:val="Heading4"/>
        <w:rPr>
          <w:rFonts w:eastAsia="Times New Roman"/>
        </w:rPr>
      </w:pPr>
      <w:r w:rsidRPr="00E82FE8">
        <w:rPr>
          <w:rFonts w:eastAsia="Times New Roman"/>
        </w:rPr>
        <w:t>New</w:t>
      </w:r>
      <w:r w:rsidR="004353C2" w:rsidRPr="00E82FE8">
        <w:rPr>
          <w:rFonts w:eastAsia="Times New Roman"/>
        </w:rPr>
        <w:t xml:space="preserve"> Delaware Case</w:t>
      </w:r>
      <w:r w:rsidRPr="00E82FE8">
        <w:rPr>
          <w:rFonts w:eastAsia="Times New Roman"/>
        </w:rPr>
        <w:t>s</w:t>
      </w:r>
    </w:p>
    <w:p w14:paraId="094E2C94" w14:textId="77777777" w:rsidR="00090872" w:rsidRDefault="00F70BF7" w:rsidP="004E593B">
      <w:pPr>
        <w:rPr>
          <w:szCs w:val="24"/>
          <w:shd w:val="clear" w:color="auto" w:fill="FFFFFF"/>
        </w:rPr>
      </w:pPr>
      <w:r w:rsidRPr="00E82FE8">
        <w:rPr>
          <w:rStyle w:val="Emphasis"/>
          <w:i w:val="0"/>
          <w:iCs w:val="0"/>
          <w:szCs w:val="24"/>
        </w:rPr>
        <w:t xml:space="preserve">In the seminal </w:t>
      </w:r>
      <w:r w:rsidRPr="00E82FE8">
        <w:rPr>
          <w:rStyle w:val="Emphasis"/>
          <w:szCs w:val="24"/>
        </w:rPr>
        <w:t>Caremar</w:t>
      </w:r>
      <w:r w:rsidR="00D41AA4" w:rsidRPr="00E82FE8">
        <w:rPr>
          <w:rStyle w:val="Emphasis"/>
          <w:szCs w:val="24"/>
        </w:rPr>
        <w:t>k</w:t>
      </w:r>
      <w:r w:rsidR="00247215" w:rsidRPr="00E82FE8">
        <w:rPr>
          <w:rStyle w:val="FootnoteReference"/>
          <w:rFonts w:eastAsia="Arial"/>
          <w:szCs w:val="24"/>
        </w:rPr>
        <w:footnoteReference w:id="60"/>
      </w:r>
      <w:r w:rsidR="00247215" w:rsidRPr="00E82FE8">
        <w:rPr>
          <w:rFonts w:eastAsia="Arial"/>
          <w:szCs w:val="24"/>
        </w:rPr>
        <w:t xml:space="preserve"> </w:t>
      </w:r>
      <w:r w:rsidR="00D41AA4" w:rsidRPr="00E82FE8">
        <w:rPr>
          <w:rFonts w:eastAsia="Arial"/>
          <w:szCs w:val="24"/>
        </w:rPr>
        <w:t xml:space="preserve">decision, </w:t>
      </w:r>
      <w:r w:rsidR="00D41AA4" w:rsidRPr="00E82FE8">
        <w:rPr>
          <w:szCs w:val="24"/>
        </w:rPr>
        <w:t xml:space="preserve">the Delaware court </w:t>
      </w:r>
      <w:r w:rsidR="00247215" w:rsidRPr="00E82FE8">
        <w:rPr>
          <w:rFonts w:eastAsia="Arial"/>
          <w:szCs w:val="24"/>
        </w:rPr>
        <w:t xml:space="preserve">established the directors’ fiduciary duties to implement and monitor internal systems or controls designed to preserve corporate assets and avoid liabilities that might arise from illegal conduct. </w:t>
      </w:r>
      <w:r w:rsidR="00D41AA4" w:rsidRPr="00E82FE8">
        <w:rPr>
          <w:rFonts w:eastAsia="Arial"/>
          <w:szCs w:val="24"/>
        </w:rPr>
        <w:t xml:space="preserve"> </w:t>
      </w:r>
      <w:r w:rsidR="00D41AA4" w:rsidRPr="00E82FE8">
        <w:rPr>
          <w:rFonts w:eastAsia="Arial"/>
          <w:i/>
          <w:iCs/>
          <w:szCs w:val="24"/>
        </w:rPr>
        <w:t>Caremark</w:t>
      </w:r>
      <w:r w:rsidR="00D41AA4" w:rsidRPr="00E82FE8">
        <w:rPr>
          <w:rFonts w:eastAsia="Arial"/>
          <w:szCs w:val="24"/>
        </w:rPr>
        <w:t xml:space="preserve"> claims were relatively rare until 2019, when </w:t>
      </w:r>
      <w:r w:rsidR="0082322C" w:rsidRPr="00E82FE8">
        <w:rPr>
          <w:szCs w:val="24"/>
          <w:shd w:val="clear" w:color="auto" w:fill="FFFFFF"/>
        </w:rPr>
        <w:t xml:space="preserve">the </w:t>
      </w:r>
      <w:r w:rsidR="00AB3758" w:rsidRPr="00E82FE8">
        <w:rPr>
          <w:szCs w:val="24"/>
          <w:shd w:val="clear" w:color="auto" w:fill="FFFFFF"/>
        </w:rPr>
        <w:t>Delaware Supreme Court</w:t>
      </w:r>
      <w:r w:rsidR="0082322C" w:rsidRPr="00E82FE8">
        <w:rPr>
          <w:szCs w:val="24"/>
          <w:shd w:val="clear" w:color="auto" w:fill="FFFFFF"/>
        </w:rPr>
        <w:t xml:space="preserve"> </w:t>
      </w:r>
      <w:r w:rsidR="00AB3758" w:rsidRPr="00E82FE8">
        <w:rPr>
          <w:szCs w:val="24"/>
          <w:shd w:val="clear" w:color="auto" w:fill="FFFFFF"/>
        </w:rPr>
        <w:t>allowed</w:t>
      </w:r>
      <w:r w:rsidR="00B90CA5" w:rsidRPr="00E82FE8">
        <w:rPr>
          <w:szCs w:val="24"/>
          <w:shd w:val="clear" w:color="auto" w:fill="FFFFFF"/>
        </w:rPr>
        <w:t xml:space="preserve"> </w:t>
      </w:r>
      <w:r w:rsidR="00AB3758" w:rsidRPr="00E82FE8">
        <w:rPr>
          <w:rStyle w:val="Emphasis"/>
          <w:szCs w:val="24"/>
          <w:bdr w:val="none" w:sz="0" w:space="0" w:color="auto" w:frame="1"/>
          <w:shd w:val="clear" w:color="auto" w:fill="FFFFFF"/>
        </w:rPr>
        <w:t>Caremark</w:t>
      </w:r>
      <w:r w:rsidR="00B90CA5" w:rsidRPr="00E82FE8">
        <w:rPr>
          <w:szCs w:val="24"/>
          <w:shd w:val="clear" w:color="auto" w:fill="FFFFFF"/>
        </w:rPr>
        <w:t xml:space="preserve"> </w:t>
      </w:r>
      <w:r w:rsidR="00AB3758" w:rsidRPr="00E82FE8">
        <w:rPr>
          <w:szCs w:val="24"/>
          <w:shd w:val="clear" w:color="auto" w:fill="FFFFFF"/>
        </w:rPr>
        <w:t xml:space="preserve">claims to proceed against </w:t>
      </w:r>
      <w:r w:rsidR="0082322C" w:rsidRPr="00E82FE8">
        <w:rPr>
          <w:szCs w:val="24"/>
          <w:shd w:val="clear" w:color="auto" w:fill="FFFFFF"/>
        </w:rPr>
        <w:t xml:space="preserve">the </w:t>
      </w:r>
      <w:r w:rsidR="0082322C" w:rsidRPr="00E82FE8">
        <w:t>Blue Bell Creameries</w:t>
      </w:r>
      <w:r w:rsidR="0082322C" w:rsidRPr="00E82FE8">
        <w:rPr>
          <w:szCs w:val="24"/>
          <w:shd w:val="clear" w:color="auto" w:fill="FFFFFF"/>
        </w:rPr>
        <w:t xml:space="preserve"> </w:t>
      </w:r>
      <w:r w:rsidR="00AB3758" w:rsidRPr="00E82FE8">
        <w:rPr>
          <w:szCs w:val="24"/>
          <w:shd w:val="clear" w:color="auto" w:fill="FFFFFF"/>
        </w:rPr>
        <w:t xml:space="preserve">directors </w:t>
      </w:r>
      <w:r w:rsidR="0082322C" w:rsidRPr="00E82FE8">
        <w:rPr>
          <w:szCs w:val="24"/>
          <w:shd w:val="clear" w:color="auto" w:fill="FFFFFF"/>
        </w:rPr>
        <w:t xml:space="preserve">for </w:t>
      </w:r>
      <w:r w:rsidR="00AB3758" w:rsidRPr="00E82FE8">
        <w:rPr>
          <w:szCs w:val="24"/>
          <w:shd w:val="clear" w:color="auto" w:fill="FFFFFF"/>
        </w:rPr>
        <w:t>a listeria outbreak at their company’s ice cream manufacturing plants.</w:t>
      </w:r>
      <w:r w:rsidR="00D41AA4" w:rsidRPr="00E82FE8">
        <w:rPr>
          <w:rStyle w:val="FootnoteReference"/>
          <w:szCs w:val="24"/>
          <w:shd w:val="clear" w:color="auto" w:fill="FFFFFF"/>
        </w:rPr>
        <w:footnoteReference w:id="61"/>
      </w:r>
      <w:r w:rsidR="00AB3758" w:rsidRPr="00E82FE8">
        <w:rPr>
          <w:szCs w:val="24"/>
          <w:shd w:val="clear" w:color="auto" w:fill="FFFFFF"/>
        </w:rPr>
        <w:t xml:space="preserve"> </w:t>
      </w:r>
      <w:r w:rsidRPr="00E82FE8">
        <w:rPr>
          <w:szCs w:val="24"/>
          <w:shd w:val="clear" w:color="auto" w:fill="FFFFFF"/>
        </w:rPr>
        <w:t xml:space="preserve"> </w:t>
      </w:r>
      <w:r w:rsidR="00D41AA4" w:rsidRPr="00E82FE8">
        <w:rPr>
          <w:szCs w:val="24"/>
          <w:shd w:val="clear" w:color="auto" w:fill="FFFFFF"/>
        </w:rPr>
        <w:t xml:space="preserve">Other </w:t>
      </w:r>
      <w:r w:rsidR="00D41AA4" w:rsidRPr="00E82FE8">
        <w:rPr>
          <w:i/>
          <w:iCs/>
          <w:szCs w:val="24"/>
          <w:shd w:val="clear" w:color="auto" w:fill="FFFFFF"/>
        </w:rPr>
        <w:t>Caremark</w:t>
      </w:r>
      <w:r w:rsidR="00D41AA4" w:rsidRPr="00E82FE8">
        <w:rPr>
          <w:szCs w:val="24"/>
          <w:shd w:val="clear" w:color="auto" w:fill="FFFFFF"/>
        </w:rPr>
        <w:t xml:space="preserve"> claims followed.  </w:t>
      </w:r>
      <w:r w:rsidR="00924EFF" w:rsidRPr="00E82FE8">
        <w:rPr>
          <w:szCs w:val="24"/>
          <w:shd w:val="clear" w:color="auto" w:fill="FFFFFF"/>
        </w:rPr>
        <w:t xml:space="preserve">The </w:t>
      </w:r>
      <w:r w:rsidR="005605DE" w:rsidRPr="00E82FE8">
        <w:rPr>
          <w:szCs w:val="24"/>
          <w:shd w:val="clear" w:color="auto" w:fill="FFFFFF"/>
        </w:rPr>
        <w:t xml:space="preserve">Delaware </w:t>
      </w:r>
      <w:r w:rsidR="00AB3758" w:rsidRPr="00E82FE8">
        <w:rPr>
          <w:szCs w:val="24"/>
          <w:shd w:val="clear" w:color="auto" w:fill="FFFFFF"/>
        </w:rPr>
        <w:t xml:space="preserve">courts have applied </w:t>
      </w:r>
      <w:r w:rsidR="00924EFF" w:rsidRPr="00E82FE8">
        <w:rPr>
          <w:i/>
          <w:iCs/>
          <w:szCs w:val="24"/>
          <w:shd w:val="clear" w:color="auto" w:fill="FFFFFF"/>
        </w:rPr>
        <w:t>Caremark</w:t>
      </w:r>
      <w:r w:rsidR="00924EFF" w:rsidRPr="00E82FE8">
        <w:rPr>
          <w:szCs w:val="24"/>
          <w:shd w:val="clear" w:color="auto" w:fill="FFFFFF"/>
        </w:rPr>
        <w:t xml:space="preserve"> </w:t>
      </w:r>
      <w:r w:rsidR="00AB3758" w:rsidRPr="00E82FE8">
        <w:rPr>
          <w:szCs w:val="24"/>
          <w:shd w:val="clear" w:color="auto" w:fill="FFFFFF"/>
        </w:rPr>
        <w:t xml:space="preserve">to, among other cases, a </w:t>
      </w:r>
      <w:r w:rsidR="00D41AA4" w:rsidRPr="00E82FE8">
        <w:rPr>
          <w:szCs w:val="24"/>
          <w:shd w:val="clear" w:color="auto" w:fill="FFFFFF"/>
        </w:rPr>
        <w:t>in</w:t>
      </w:r>
      <w:r w:rsidR="00D41AA4" w:rsidRPr="00E82FE8">
        <w:rPr>
          <w:szCs w:val="24"/>
        </w:rPr>
        <w:t xml:space="preserve"> </w:t>
      </w:r>
      <w:r w:rsidR="00AB3758" w:rsidRPr="00E82FE8">
        <w:rPr>
          <w:szCs w:val="24"/>
          <w:shd w:val="clear" w:color="auto" w:fill="FFFFFF"/>
        </w:rPr>
        <w:t>biopharmaceutical company’s failure to comply with FDA regulations and an auto parts company’s failure to properly monitor its financial reporting.</w:t>
      </w:r>
      <w:r w:rsidR="00E47317" w:rsidRPr="00E82FE8">
        <w:rPr>
          <w:rStyle w:val="FootnoteReference"/>
          <w:szCs w:val="24"/>
          <w:shd w:val="clear" w:color="auto" w:fill="FFFFFF"/>
        </w:rPr>
        <w:footnoteReference w:id="62"/>
      </w:r>
    </w:p>
    <w:p w14:paraId="2BDE3FDB" w14:textId="02E79510" w:rsidR="00AB3758" w:rsidRPr="00E82FE8" w:rsidRDefault="00D15120" w:rsidP="004E593B">
      <w:pPr>
        <w:rPr>
          <w:szCs w:val="24"/>
          <w:shd w:val="clear" w:color="auto" w:fill="FFFFFF"/>
        </w:rPr>
      </w:pPr>
      <w:r w:rsidRPr="00E82FE8">
        <w:rPr>
          <w:szCs w:val="24"/>
          <w:shd w:val="clear" w:color="auto" w:fill="FFFFFF"/>
        </w:rPr>
        <w:t xml:space="preserve">The most recent iteration of </w:t>
      </w:r>
      <w:r w:rsidRPr="00E82FE8">
        <w:rPr>
          <w:i/>
          <w:iCs/>
          <w:szCs w:val="24"/>
          <w:shd w:val="clear" w:color="auto" w:fill="FFFFFF"/>
        </w:rPr>
        <w:t>Caremark</w:t>
      </w:r>
      <w:r w:rsidRPr="00E82FE8">
        <w:rPr>
          <w:szCs w:val="24"/>
          <w:shd w:val="clear" w:color="auto" w:fill="FFFFFF"/>
        </w:rPr>
        <w:t xml:space="preserve"> i</w:t>
      </w:r>
      <w:r w:rsidR="00E47317" w:rsidRPr="00E82FE8">
        <w:rPr>
          <w:szCs w:val="24"/>
          <w:shd w:val="clear" w:color="auto" w:fill="FFFFFF"/>
        </w:rPr>
        <w:t xml:space="preserve">nvolves the board of the Boeing Company.  </w:t>
      </w:r>
      <w:hyperlink r:id="rId11" w:tgtFrame="_blank" w:history="1">
        <w:r w:rsidR="00AB3758" w:rsidRPr="00E82FE8">
          <w:rPr>
            <w:rStyle w:val="Emphasis"/>
            <w:szCs w:val="24"/>
            <w:bdr w:val="none" w:sz="0" w:space="0" w:color="auto" w:frame="1"/>
          </w:rPr>
          <w:t>In re the Boeing Company Derivative Litigation</w:t>
        </w:r>
      </w:hyperlink>
      <w:r w:rsidR="004938CA" w:rsidRPr="00E82FE8">
        <w:rPr>
          <w:rStyle w:val="FootnoteReference"/>
          <w:i/>
          <w:iCs/>
          <w:szCs w:val="24"/>
          <w:bdr w:val="none" w:sz="0" w:space="0" w:color="auto" w:frame="1"/>
        </w:rPr>
        <w:footnoteReference w:id="63"/>
      </w:r>
      <w:r w:rsidR="00B90CA5" w:rsidRPr="00E82FE8">
        <w:rPr>
          <w:szCs w:val="24"/>
          <w:shd w:val="clear" w:color="auto" w:fill="FFFFFF"/>
        </w:rPr>
        <w:t xml:space="preserve"> </w:t>
      </w:r>
      <w:r w:rsidR="00AB3758" w:rsidRPr="00E82FE8">
        <w:rPr>
          <w:szCs w:val="24"/>
          <w:shd w:val="clear" w:color="auto" w:fill="FFFFFF"/>
        </w:rPr>
        <w:t>arose following two crashes of Boeing 737 Max planes</w:t>
      </w:r>
      <w:r w:rsidR="00924EFF" w:rsidRPr="00E82FE8">
        <w:rPr>
          <w:szCs w:val="24"/>
          <w:shd w:val="clear" w:color="auto" w:fill="FFFFFF"/>
        </w:rPr>
        <w:t xml:space="preserve">, which were caused by faulty sensors and software.  </w:t>
      </w:r>
      <w:r w:rsidR="00AB3758" w:rsidRPr="00E82FE8">
        <w:rPr>
          <w:szCs w:val="24"/>
          <w:shd w:val="clear" w:color="auto" w:fill="FFFFFF"/>
        </w:rPr>
        <w:t>The sensors were vulnerable to false readings and</w:t>
      </w:r>
      <w:r w:rsidR="00924EFF" w:rsidRPr="00E82FE8">
        <w:rPr>
          <w:szCs w:val="24"/>
          <w:shd w:val="clear" w:color="auto" w:fill="FFFFFF"/>
        </w:rPr>
        <w:t>,</w:t>
      </w:r>
      <w:r w:rsidR="00AB3758" w:rsidRPr="00E82FE8">
        <w:rPr>
          <w:szCs w:val="24"/>
          <w:shd w:val="clear" w:color="auto" w:fill="FFFFFF"/>
        </w:rPr>
        <w:t xml:space="preserve"> if triggered</w:t>
      </w:r>
      <w:r w:rsidR="00924EFF" w:rsidRPr="00E82FE8">
        <w:rPr>
          <w:szCs w:val="24"/>
          <w:shd w:val="clear" w:color="auto" w:fill="FFFFFF"/>
        </w:rPr>
        <w:t>, the software</w:t>
      </w:r>
      <w:r w:rsidR="00AB3758" w:rsidRPr="00E82FE8">
        <w:rPr>
          <w:szCs w:val="24"/>
          <w:shd w:val="clear" w:color="auto" w:fill="FFFFFF"/>
        </w:rPr>
        <w:t xml:space="preserve"> could “correct” the aircraft by pushing the nose down.</w:t>
      </w:r>
      <w:r w:rsidR="00B90CA5" w:rsidRPr="00E82FE8">
        <w:rPr>
          <w:szCs w:val="24"/>
          <w:shd w:val="clear" w:color="auto" w:fill="FFFFFF"/>
        </w:rPr>
        <w:t xml:space="preserve"> </w:t>
      </w:r>
      <w:r w:rsidR="00AB3758" w:rsidRPr="00E82FE8">
        <w:rPr>
          <w:szCs w:val="24"/>
          <w:shd w:val="clear" w:color="auto" w:fill="FFFFFF"/>
        </w:rPr>
        <w:t xml:space="preserve"> </w:t>
      </w:r>
      <w:r w:rsidR="00C05674" w:rsidRPr="00E82FE8">
        <w:rPr>
          <w:szCs w:val="24"/>
          <w:shd w:val="clear" w:color="auto" w:fill="FFFFFF"/>
        </w:rPr>
        <w:t>N</w:t>
      </w:r>
      <w:r w:rsidR="00AB3758" w:rsidRPr="00E82FE8">
        <w:rPr>
          <w:szCs w:val="24"/>
          <w:shd w:val="clear" w:color="auto" w:fill="FFFFFF"/>
        </w:rPr>
        <w:t xml:space="preserve">umerous investigations and legal actions </w:t>
      </w:r>
      <w:r w:rsidR="00C05674" w:rsidRPr="00E82FE8">
        <w:rPr>
          <w:szCs w:val="24"/>
          <w:shd w:val="clear" w:color="auto" w:fill="FFFFFF"/>
        </w:rPr>
        <w:t>followed</w:t>
      </w:r>
      <w:r w:rsidR="00AB3758" w:rsidRPr="00E82FE8">
        <w:rPr>
          <w:szCs w:val="24"/>
          <w:shd w:val="clear" w:color="auto" w:fill="FFFFFF"/>
        </w:rPr>
        <w:t>, including criminal proceedings, with Boeing ultimately agreeing to pay penalties and other compensation exceeding $2.5 billion.</w:t>
      </w:r>
    </w:p>
    <w:p w14:paraId="1294BA78" w14:textId="213FE580" w:rsidR="00C05674" w:rsidRPr="00E82FE8" w:rsidRDefault="00C05674" w:rsidP="004E593B">
      <w:pPr>
        <w:rPr>
          <w:szCs w:val="24"/>
          <w:shd w:val="clear" w:color="auto" w:fill="FFFFFF"/>
        </w:rPr>
      </w:pPr>
      <w:r w:rsidRPr="00E82FE8">
        <w:rPr>
          <w:szCs w:val="24"/>
        </w:rPr>
        <w:t xml:space="preserve">The </w:t>
      </w:r>
      <w:r w:rsidR="004807A2" w:rsidRPr="00E82FE8">
        <w:rPr>
          <w:szCs w:val="24"/>
        </w:rPr>
        <w:t>Court of Chancery</w:t>
      </w:r>
      <w:r w:rsidRPr="00E82FE8">
        <w:rPr>
          <w:szCs w:val="24"/>
        </w:rPr>
        <w:t xml:space="preserve"> denied the directors’ motion to dismiss holding that the directors had (a) failed to “establish a reporting system for airplane safety” and (</w:t>
      </w:r>
      <w:r w:rsidR="004938CA" w:rsidRPr="00E82FE8">
        <w:rPr>
          <w:szCs w:val="24"/>
        </w:rPr>
        <w:t>b</w:t>
      </w:r>
      <w:r w:rsidRPr="00E82FE8">
        <w:rPr>
          <w:szCs w:val="24"/>
        </w:rPr>
        <w:t>)</w:t>
      </w:r>
      <w:r w:rsidR="004938CA" w:rsidRPr="00E82FE8">
        <w:rPr>
          <w:szCs w:val="24"/>
        </w:rPr>
        <w:t> </w:t>
      </w:r>
      <w:r w:rsidRPr="00E82FE8">
        <w:rPr>
          <w:szCs w:val="24"/>
        </w:rPr>
        <w:t>“turn[ed] a blind eye to a red flag representing airplane safety problems.”</w:t>
      </w:r>
      <w:r w:rsidR="004938CA" w:rsidRPr="00E82FE8">
        <w:rPr>
          <w:rStyle w:val="FootnoteReference"/>
          <w:szCs w:val="24"/>
        </w:rPr>
        <w:footnoteReference w:id="64"/>
      </w:r>
      <w:r w:rsidR="004938CA" w:rsidRPr="00E82FE8">
        <w:rPr>
          <w:szCs w:val="24"/>
          <w:shd w:val="clear" w:color="auto" w:fill="FFFFFF"/>
        </w:rPr>
        <w:t xml:space="preserve"> </w:t>
      </w:r>
      <w:r w:rsidR="00CF589C" w:rsidRPr="00E82FE8">
        <w:rPr>
          <w:szCs w:val="24"/>
          <w:shd w:val="clear" w:color="auto" w:fill="FFFFFF"/>
        </w:rPr>
        <w:t xml:space="preserve"> Accepting </w:t>
      </w:r>
      <w:r w:rsidR="00CF589C" w:rsidRPr="00E82FE8">
        <w:rPr>
          <w:szCs w:val="24"/>
        </w:rPr>
        <w:t xml:space="preserve">the allegations as true for purposes of the motion, the court found a reasonable inference that the directors acted with scienter, meaning with </w:t>
      </w:r>
      <w:r w:rsidR="00007895" w:rsidRPr="00E82FE8">
        <w:rPr>
          <w:szCs w:val="24"/>
        </w:rPr>
        <w:t>“</w:t>
      </w:r>
      <w:r w:rsidR="00CF589C" w:rsidRPr="00E82FE8">
        <w:rPr>
          <w:szCs w:val="24"/>
        </w:rPr>
        <w:t>conscious disregard for [their] responsibilities,</w:t>
      </w:r>
      <w:r w:rsidR="00007895" w:rsidRPr="00E82FE8">
        <w:rPr>
          <w:szCs w:val="24"/>
        </w:rPr>
        <w:t>”</w:t>
      </w:r>
      <w:r w:rsidR="00CF589C" w:rsidRPr="00E82FE8">
        <w:rPr>
          <w:szCs w:val="24"/>
        </w:rPr>
        <w:t xml:space="preserve"> such that they cannot be entitled to a presumption of good faith</w:t>
      </w:r>
      <w:r w:rsidR="00007895" w:rsidRPr="00E82FE8">
        <w:rPr>
          <w:szCs w:val="24"/>
        </w:rPr>
        <w:t xml:space="preserve"> and thus are denied the protections under the business judgement rule.</w:t>
      </w:r>
      <w:r w:rsidR="00007895" w:rsidRPr="00E82FE8">
        <w:rPr>
          <w:rStyle w:val="FootnoteReference"/>
          <w:szCs w:val="24"/>
        </w:rPr>
        <w:footnoteReference w:id="65"/>
      </w:r>
      <w:r w:rsidR="00CF589C" w:rsidRPr="00E82FE8">
        <w:rPr>
          <w:szCs w:val="24"/>
          <w:shd w:val="clear" w:color="auto" w:fill="FFFFFF"/>
        </w:rPr>
        <w:t xml:space="preserve"> </w:t>
      </w:r>
      <w:r w:rsidR="00007895" w:rsidRPr="00E82FE8">
        <w:rPr>
          <w:szCs w:val="24"/>
          <w:shd w:val="clear" w:color="auto" w:fill="FFFFFF"/>
        </w:rPr>
        <w:t xml:space="preserve"> </w:t>
      </w:r>
      <w:r w:rsidR="007256F7" w:rsidRPr="00E82FE8">
        <w:rPr>
          <w:szCs w:val="24"/>
          <w:shd w:val="clear" w:color="auto" w:fill="FFFFFF"/>
        </w:rPr>
        <w:t>Ample evidence indicated that management was aware of the 737 Max’s safety issues, but the issues were not shared with the board</w:t>
      </w:r>
      <w:r w:rsidR="00B36D9D" w:rsidRPr="00E82FE8">
        <w:rPr>
          <w:szCs w:val="24"/>
          <w:shd w:val="clear" w:color="auto" w:fill="FFFFFF"/>
        </w:rPr>
        <w:t>,</w:t>
      </w:r>
      <w:r w:rsidR="007256F7" w:rsidRPr="00E82FE8">
        <w:rPr>
          <w:szCs w:val="24"/>
          <w:shd w:val="clear" w:color="auto" w:fill="FFFFFF"/>
        </w:rPr>
        <w:t xml:space="preserve"> and the directors lacked board-level systems for reporting airplane safety issues.  The board had no committee dedicated to safety, no protocols for mandatory and regular management reporting, and no agenda items dedicated to safety. </w:t>
      </w:r>
    </w:p>
    <w:p w14:paraId="002957FB" w14:textId="77777777" w:rsidR="00090872" w:rsidRDefault="005605DE" w:rsidP="004E593B">
      <w:pPr>
        <w:rPr>
          <w:rFonts w:eastAsia="Times New Roman"/>
        </w:rPr>
      </w:pPr>
      <w:r w:rsidRPr="00E82FE8">
        <w:rPr>
          <w:szCs w:val="24"/>
          <w:shd w:val="clear" w:color="auto" w:fill="FFFFFF"/>
        </w:rPr>
        <w:t xml:space="preserve">The </w:t>
      </w:r>
      <w:r w:rsidR="00495FE9" w:rsidRPr="00E82FE8">
        <w:rPr>
          <w:szCs w:val="24"/>
          <w:shd w:val="clear" w:color="auto" w:fill="FFFFFF"/>
        </w:rPr>
        <w:t xml:space="preserve">Delaware Supreme Court </w:t>
      </w:r>
      <w:r w:rsidRPr="00E82FE8">
        <w:rPr>
          <w:szCs w:val="24"/>
          <w:shd w:val="clear" w:color="auto" w:fill="FFFFFF"/>
        </w:rPr>
        <w:t xml:space="preserve">recently delivered </w:t>
      </w:r>
      <w:r w:rsidR="00495FE9" w:rsidRPr="00E82FE8">
        <w:rPr>
          <w:szCs w:val="24"/>
          <w:shd w:val="clear" w:color="auto" w:fill="FFFFFF"/>
        </w:rPr>
        <w:t xml:space="preserve">two important decisions clarifying key doctrines relating to derivative shareholder litigation. </w:t>
      </w:r>
      <w:r w:rsidR="005C2638" w:rsidRPr="00E82FE8">
        <w:rPr>
          <w:szCs w:val="24"/>
          <w:shd w:val="clear" w:color="auto" w:fill="FFFFFF"/>
        </w:rPr>
        <w:t xml:space="preserve"> </w:t>
      </w:r>
      <w:r w:rsidR="00495FE9" w:rsidRPr="00E82FE8">
        <w:rPr>
          <w:szCs w:val="24"/>
          <w:shd w:val="clear" w:color="auto" w:fill="FFFFFF"/>
        </w:rPr>
        <w:t xml:space="preserve">The first, </w:t>
      </w:r>
      <w:r w:rsidR="00495FE9" w:rsidRPr="00E82FE8">
        <w:rPr>
          <w:rStyle w:val="Emphasis"/>
          <w:szCs w:val="24"/>
          <w:bdr w:val="none" w:sz="0" w:space="0" w:color="auto" w:frame="1"/>
          <w:shd w:val="clear" w:color="auto" w:fill="FFFFFF"/>
        </w:rPr>
        <w:t>Brookfield Asset Management, Inc. v. Rosson</w:t>
      </w:r>
      <w:r w:rsidR="00495FE9" w:rsidRPr="00E82FE8">
        <w:rPr>
          <w:szCs w:val="24"/>
          <w:shd w:val="clear" w:color="auto" w:fill="FFFFFF"/>
        </w:rPr>
        <w:t>,</w:t>
      </w:r>
      <w:r w:rsidR="005C2638" w:rsidRPr="00E82FE8">
        <w:rPr>
          <w:rStyle w:val="FootnoteReference"/>
          <w:szCs w:val="24"/>
          <w:shd w:val="clear" w:color="auto" w:fill="FFFFFF"/>
        </w:rPr>
        <w:footnoteReference w:id="66"/>
      </w:r>
      <w:r w:rsidR="005C2638" w:rsidRPr="00E82FE8">
        <w:rPr>
          <w:szCs w:val="24"/>
          <w:shd w:val="clear" w:color="auto" w:fill="FFFFFF"/>
        </w:rPr>
        <w:t xml:space="preserve"> </w:t>
      </w:r>
      <w:r w:rsidR="00495FE9" w:rsidRPr="00E82FE8">
        <w:rPr>
          <w:szCs w:val="24"/>
          <w:shd w:val="clear" w:color="auto" w:fill="FFFFFF"/>
        </w:rPr>
        <w:t xml:space="preserve">overruled </w:t>
      </w:r>
      <w:r w:rsidR="00495FE9" w:rsidRPr="00E82FE8">
        <w:rPr>
          <w:rStyle w:val="Emphasis"/>
          <w:szCs w:val="24"/>
          <w:bdr w:val="none" w:sz="0" w:space="0" w:color="auto" w:frame="1"/>
          <w:shd w:val="clear" w:color="auto" w:fill="FFFFFF"/>
        </w:rPr>
        <w:t>Gentile v. Rossette</w:t>
      </w:r>
      <w:r w:rsidR="005C2638" w:rsidRPr="00E82FE8">
        <w:rPr>
          <w:rStyle w:val="FootnoteReference"/>
          <w:i/>
          <w:iCs/>
          <w:szCs w:val="24"/>
          <w:bdr w:val="none" w:sz="0" w:space="0" w:color="auto" w:frame="1"/>
          <w:shd w:val="clear" w:color="auto" w:fill="FFFFFF"/>
        </w:rPr>
        <w:footnoteReference w:id="67"/>
      </w:r>
      <w:r w:rsidR="005C2638" w:rsidRPr="00E82FE8">
        <w:t xml:space="preserve"> </w:t>
      </w:r>
      <w:r w:rsidR="00495FE9" w:rsidRPr="00E82FE8">
        <w:rPr>
          <w:szCs w:val="24"/>
          <w:shd w:val="clear" w:color="auto" w:fill="FFFFFF"/>
        </w:rPr>
        <w:t>and eliminated</w:t>
      </w:r>
      <w:r w:rsidR="00AB3758" w:rsidRPr="00E82FE8">
        <w:rPr>
          <w:szCs w:val="24"/>
          <w:shd w:val="clear" w:color="auto" w:fill="FFFFFF"/>
        </w:rPr>
        <w:t xml:space="preserve"> </w:t>
      </w:r>
      <w:r w:rsidR="00495FE9" w:rsidRPr="00E82FE8">
        <w:rPr>
          <w:rStyle w:val="Emphasis"/>
          <w:szCs w:val="24"/>
          <w:bdr w:val="none" w:sz="0" w:space="0" w:color="auto" w:frame="1"/>
          <w:shd w:val="clear" w:color="auto" w:fill="FFFFFF"/>
        </w:rPr>
        <w:t>Gentile</w:t>
      </w:r>
      <w:r w:rsidR="00495FE9" w:rsidRPr="00E82FE8">
        <w:rPr>
          <w:szCs w:val="24"/>
          <w:shd w:val="clear" w:color="auto" w:fill="FFFFFF"/>
        </w:rPr>
        <w:t>’s carve-out exception to the test for direct</w:t>
      </w:r>
      <w:r w:rsidR="00AB3758" w:rsidRPr="00E82FE8">
        <w:rPr>
          <w:szCs w:val="24"/>
          <w:shd w:val="clear" w:color="auto" w:fill="FFFFFF"/>
        </w:rPr>
        <w:t xml:space="preserve"> </w:t>
      </w:r>
      <w:r w:rsidR="00495FE9" w:rsidRPr="00E82FE8">
        <w:rPr>
          <w:rStyle w:val="Emphasis"/>
          <w:i w:val="0"/>
          <w:iCs w:val="0"/>
          <w:szCs w:val="24"/>
          <w:bdr w:val="none" w:sz="0" w:space="0" w:color="auto" w:frame="1"/>
          <w:shd w:val="clear" w:color="auto" w:fill="FFFFFF"/>
        </w:rPr>
        <w:t>versus</w:t>
      </w:r>
      <w:r w:rsidR="00AB3758" w:rsidRPr="00E82FE8">
        <w:rPr>
          <w:rStyle w:val="Emphasis"/>
          <w:szCs w:val="24"/>
          <w:bdr w:val="none" w:sz="0" w:space="0" w:color="auto" w:frame="1"/>
          <w:shd w:val="clear" w:color="auto" w:fill="FFFFFF"/>
        </w:rPr>
        <w:t xml:space="preserve"> </w:t>
      </w:r>
      <w:r w:rsidR="00495FE9" w:rsidRPr="00E82FE8">
        <w:rPr>
          <w:szCs w:val="24"/>
          <w:shd w:val="clear" w:color="auto" w:fill="FFFFFF"/>
        </w:rPr>
        <w:t>derivative claims under</w:t>
      </w:r>
      <w:r w:rsidR="00AB3758" w:rsidRPr="00E82FE8">
        <w:rPr>
          <w:szCs w:val="24"/>
          <w:shd w:val="clear" w:color="auto" w:fill="FFFFFF"/>
        </w:rPr>
        <w:t xml:space="preserve"> </w:t>
      </w:r>
      <w:r w:rsidR="00495FE9" w:rsidRPr="00E82FE8">
        <w:rPr>
          <w:rStyle w:val="Emphasis"/>
          <w:szCs w:val="24"/>
          <w:bdr w:val="none" w:sz="0" w:space="0" w:color="auto" w:frame="1"/>
          <w:shd w:val="clear" w:color="auto" w:fill="FFFFFF"/>
        </w:rPr>
        <w:t>Tooley v. Donaldson, Lufkin &amp; Jennette, Inc.</w:t>
      </w:r>
      <w:r w:rsidR="005C2638" w:rsidRPr="00E82FE8">
        <w:rPr>
          <w:rStyle w:val="FootnoteReference"/>
          <w:i/>
          <w:iCs/>
          <w:szCs w:val="24"/>
          <w:bdr w:val="none" w:sz="0" w:space="0" w:color="auto" w:frame="1"/>
          <w:shd w:val="clear" w:color="auto" w:fill="FFFFFF"/>
        </w:rPr>
        <w:footnoteReference w:id="68"/>
      </w:r>
      <w:r w:rsidR="00AB3758" w:rsidRPr="00E82FE8">
        <w:rPr>
          <w:szCs w:val="24"/>
          <w:shd w:val="clear" w:color="auto" w:fill="FFFFFF"/>
        </w:rPr>
        <w:t xml:space="preserve">  </w:t>
      </w:r>
      <w:r w:rsidR="005C2638" w:rsidRPr="00E82FE8">
        <w:rPr>
          <w:szCs w:val="24"/>
          <w:shd w:val="clear" w:color="auto" w:fill="FFFFFF"/>
        </w:rPr>
        <w:t xml:space="preserve">Under </w:t>
      </w:r>
      <w:r w:rsidR="005C2638" w:rsidRPr="00E82FE8">
        <w:rPr>
          <w:i/>
          <w:iCs/>
          <w:szCs w:val="24"/>
          <w:shd w:val="clear" w:color="auto" w:fill="FFFFFF"/>
        </w:rPr>
        <w:t>Tooley</w:t>
      </w:r>
      <w:r w:rsidR="005C2638" w:rsidRPr="00E82FE8">
        <w:rPr>
          <w:szCs w:val="24"/>
          <w:shd w:val="clear" w:color="auto" w:fill="FFFFFF"/>
        </w:rPr>
        <w:t xml:space="preserve">, a </w:t>
      </w:r>
      <w:r w:rsidR="000D32D4" w:rsidRPr="00E82FE8">
        <w:rPr>
          <w:szCs w:val="24"/>
          <w:shd w:val="clear" w:color="auto" w:fill="FFFFFF"/>
        </w:rPr>
        <w:t xml:space="preserve">shareholder’s claim is direct if the shareholder can </w:t>
      </w:r>
      <w:r w:rsidR="000D32D4" w:rsidRPr="00E82FE8">
        <w:rPr>
          <w:rFonts w:eastAsia="Times New Roman"/>
        </w:rPr>
        <w:t xml:space="preserve">prevail without showing an injury to the corporation.  The test asks whether the claim and remedy are unique to the </w:t>
      </w:r>
      <w:r w:rsidR="00D3680B" w:rsidRPr="00E82FE8">
        <w:rPr>
          <w:rFonts w:eastAsia="Times New Roman"/>
        </w:rPr>
        <w:t>shareholder/</w:t>
      </w:r>
      <w:r w:rsidR="000D32D4" w:rsidRPr="00E82FE8">
        <w:rPr>
          <w:rFonts w:eastAsia="Times New Roman"/>
        </w:rPr>
        <w:t xml:space="preserve">claimant.  </w:t>
      </w:r>
      <w:r w:rsidR="000D32D4" w:rsidRPr="00E82FE8">
        <w:rPr>
          <w:rFonts w:eastAsia="Times New Roman"/>
          <w:i/>
          <w:iCs/>
        </w:rPr>
        <w:t>Gentile</w:t>
      </w:r>
      <w:r w:rsidR="000D32D4" w:rsidRPr="00E82FE8">
        <w:rPr>
          <w:rFonts w:eastAsia="Times New Roman"/>
        </w:rPr>
        <w:t xml:space="preserve"> had muddied the water by suggesting some claims could be </w:t>
      </w:r>
      <w:r w:rsidR="00B36D9D" w:rsidRPr="00E82FE8">
        <w:rPr>
          <w:rFonts w:eastAsia="Times New Roman"/>
        </w:rPr>
        <w:t xml:space="preserve">both </w:t>
      </w:r>
      <w:r w:rsidR="000D32D4" w:rsidRPr="00E82FE8">
        <w:rPr>
          <w:rFonts w:eastAsia="Times New Roman"/>
        </w:rPr>
        <w:t xml:space="preserve">direct and derivative.  </w:t>
      </w:r>
      <w:r w:rsidR="00D3680B" w:rsidRPr="00E82FE8">
        <w:rPr>
          <w:rFonts w:eastAsia="Times New Roman"/>
        </w:rPr>
        <w:t xml:space="preserve">Having struggled to apply </w:t>
      </w:r>
      <w:r w:rsidR="00D3680B" w:rsidRPr="00E82FE8">
        <w:rPr>
          <w:rFonts w:eastAsia="Times New Roman"/>
          <w:i/>
          <w:iCs/>
        </w:rPr>
        <w:t>Gentile</w:t>
      </w:r>
      <w:r w:rsidR="00D3680B" w:rsidRPr="00E82FE8">
        <w:rPr>
          <w:rFonts w:eastAsia="Times New Roman"/>
        </w:rPr>
        <w:t xml:space="preserve">, the Court overruled it saying that the </w:t>
      </w:r>
      <w:r w:rsidR="00D3680B" w:rsidRPr="00E82FE8">
        <w:rPr>
          <w:rFonts w:eastAsia="Times New Roman"/>
          <w:i/>
          <w:iCs/>
        </w:rPr>
        <w:t>Tooley</w:t>
      </w:r>
      <w:r w:rsidR="00D3680B" w:rsidRPr="00E82FE8">
        <w:rPr>
          <w:rFonts w:eastAsia="Times New Roman"/>
        </w:rPr>
        <w:t xml:space="preserve"> test could give shareholders the equity they deserve without </w:t>
      </w:r>
      <w:r w:rsidR="00D3680B" w:rsidRPr="00E82FE8">
        <w:rPr>
          <w:rFonts w:eastAsia="Times New Roman"/>
          <w:i/>
          <w:iCs/>
        </w:rPr>
        <w:t>Gentile</w:t>
      </w:r>
      <w:r w:rsidR="00D3680B" w:rsidRPr="00E82FE8">
        <w:rPr>
          <w:rFonts w:eastAsia="Times New Roman"/>
        </w:rPr>
        <w:t>’s confusion.</w:t>
      </w:r>
    </w:p>
    <w:p w14:paraId="049441C6" w14:textId="77777777" w:rsidR="00090872" w:rsidRDefault="005C2638" w:rsidP="004E593B">
      <w:pPr>
        <w:rPr>
          <w:szCs w:val="24"/>
          <w:shd w:val="clear" w:color="auto" w:fill="FFFFFF"/>
        </w:rPr>
      </w:pPr>
      <w:r w:rsidRPr="00E82FE8">
        <w:rPr>
          <w:szCs w:val="24"/>
          <w:shd w:val="clear" w:color="auto" w:fill="FFFFFF"/>
        </w:rPr>
        <w:t xml:space="preserve">The </w:t>
      </w:r>
      <w:r w:rsidRPr="00E82FE8">
        <w:rPr>
          <w:i/>
          <w:iCs/>
          <w:szCs w:val="24"/>
          <w:shd w:val="clear" w:color="auto" w:fill="FFFFFF"/>
        </w:rPr>
        <w:t>Brookfield</w:t>
      </w:r>
      <w:r w:rsidRPr="00E82FE8">
        <w:rPr>
          <w:szCs w:val="24"/>
          <w:shd w:val="clear" w:color="auto" w:fill="FFFFFF"/>
        </w:rPr>
        <w:t xml:space="preserve"> </w:t>
      </w:r>
      <w:r w:rsidR="006D34C9" w:rsidRPr="00E82FE8">
        <w:rPr>
          <w:szCs w:val="24"/>
          <w:shd w:val="clear" w:color="auto" w:fill="FFFFFF"/>
        </w:rPr>
        <w:t xml:space="preserve">decision is particularly important in Oklahoma </w:t>
      </w:r>
      <w:r w:rsidR="00AB3758" w:rsidRPr="00E82FE8">
        <w:rPr>
          <w:szCs w:val="24"/>
          <w:shd w:val="clear" w:color="auto" w:fill="FFFFFF"/>
        </w:rPr>
        <w:t xml:space="preserve">because </w:t>
      </w:r>
      <w:r w:rsidR="00880298" w:rsidRPr="00E82FE8">
        <w:rPr>
          <w:szCs w:val="24"/>
          <w:shd w:val="clear" w:color="auto" w:fill="FFFFFF"/>
        </w:rPr>
        <w:t xml:space="preserve">the </w:t>
      </w:r>
      <w:r w:rsidR="00AB3758" w:rsidRPr="00E82FE8">
        <w:rPr>
          <w:i/>
          <w:iCs/>
          <w:szCs w:val="24"/>
          <w:shd w:val="clear" w:color="auto" w:fill="FFFFFF"/>
        </w:rPr>
        <w:t>Gentile</w:t>
      </w:r>
      <w:r w:rsidR="00AB3758" w:rsidRPr="00E82FE8">
        <w:rPr>
          <w:szCs w:val="24"/>
          <w:shd w:val="clear" w:color="auto" w:fill="FFFFFF"/>
        </w:rPr>
        <w:t xml:space="preserve"> precedent was cited </w:t>
      </w:r>
      <w:r w:rsidR="006D34C9" w:rsidRPr="00E82FE8">
        <w:rPr>
          <w:szCs w:val="24"/>
          <w:shd w:val="clear" w:color="auto" w:fill="FFFFFF"/>
        </w:rPr>
        <w:t xml:space="preserve">in the </w:t>
      </w:r>
      <w:r w:rsidR="00653C14" w:rsidRPr="00E82FE8">
        <w:rPr>
          <w:szCs w:val="24"/>
          <w:shd w:val="clear" w:color="auto" w:fill="FFFFFF"/>
        </w:rPr>
        <w:t xml:space="preserve">prior </w:t>
      </w:r>
      <w:r w:rsidR="006D34C9" w:rsidRPr="00E82FE8">
        <w:rPr>
          <w:szCs w:val="24"/>
          <w:shd w:val="clear" w:color="auto" w:fill="FFFFFF"/>
        </w:rPr>
        <w:t>Oklahoma case of</w:t>
      </w:r>
      <w:r w:rsidR="00AB3758" w:rsidRPr="00E82FE8">
        <w:rPr>
          <w:szCs w:val="24"/>
          <w:shd w:val="clear" w:color="auto" w:fill="FFFFFF"/>
        </w:rPr>
        <w:t xml:space="preserve"> </w:t>
      </w:r>
      <w:r w:rsidR="00880298" w:rsidRPr="00E82FE8">
        <w:rPr>
          <w:rFonts w:eastAsia="Times New Roman"/>
          <w:i/>
        </w:rPr>
        <w:t>Watkins v. Hamm</w:t>
      </w:r>
      <w:r w:rsidR="00880298" w:rsidRPr="00E82FE8">
        <w:rPr>
          <w:rFonts w:eastAsia="Times New Roman"/>
          <w:iCs/>
        </w:rPr>
        <w:t>.</w:t>
      </w:r>
      <w:r w:rsidR="006D34C9" w:rsidRPr="00E82FE8">
        <w:rPr>
          <w:rStyle w:val="FootnoteReference"/>
          <w:rFonts w:eastAsia="Times New Roman"/>
          <w:iCs/>
        </w:rPr>
        <w:footnoteReference w:id="69"/>
      </w:r>
      <w:r w:rsidR="00880298" w:rsidRPr="00E82FE8">
        <w:rPr>
          <w:rFonts w:eastAsia="Times New Roman"/>
          <w:iCs/>
        </w:rPr>
        <w:t xml:space="preserve">  </w:t>
      </w:r>
      <w:r w:rsidR="00880298" w:rsidRPr="00E82FE8">
        <w:rPr>
          <w:rFonts w:eastAsia="Times New Roman"/>
        </w:rPr>
        <w:t xml:space="preserve">The </w:t>
      </w:r>
      <w:r w:rsidR="006D34C9" w:rsidRPr="00E82FE8">
        <w:rPr>
          <w:rFonts w:eastAsia="Times New Roman"/>
        </w:rPr>
        <w:t xml:space="preserve">Oklahoma Court of Appeals had </w:t>
      </w:r>
      <w:r w:rsidR="00880298" w:rsidRPr="00E82FE8">
        <w:rPr>
          <w:rFonts w:eastAsia="Times New Roman"/>
        </w:rPr>
        <w:t xml:space="preserve">noted the dubious position that </w:t>
      </w:r>
      <w:r w:rsidR="00880298" w:rsidRPr="00E82FE8">
        <w:rPr>
          <w:rFonts w:eastAsia="Times New Roman"/>
          <w:i/>
          <w:iCs/>
        </w:rPr>
        <w:t>Gentile</w:t>
      </w:r>
      <w:r w:rsidR="00880298" w:rsidRPr="00E82FE8">
        <w:rPr>
          <w:rFonts w:eastAsia="Times New Roman"/>
        </w:rPr>
        <w:t xml:space="preserve"> held under Delaware law and wrote that Oklahoma has never recognized direct claims </w:t>
      </w:r>
      <w:r w:rsidR="00FB509E" w:rsidRPr="00E82FE8">
        <w:rPr>
          <w:rFonts w:eastAsia="Times New Roman"/>
        </w:rPr>
        <w:t>under</w:t>
      </w:r>
      <w:r w:rsidR="00880298" w:rsidRPr="00E82FE8">
        <w:rPr>
          <w:rFonts w:eastAsia="Times New Roman"/>
        </w:rPr>
        <w:t xml:space="preserve"> </w:t>
      </w:r>
      <w:r w:rsidR="00880298" w:rsidRPr="00E82FE8">
        <w:rPr>
          <w:rFonts w:eastAsia="Times New Roman"/>
          <w:i/>
        </w:rPr>
        <w:t>Gentile</w:t>
      </w:r>
      <w:r w:rsidR="00880298" w:rsidRPr="00E82FE8">
        <w:rPr>
          <w:rFonts w:eastAsia="Times New Roman"/>
        </w:rPr>
        <w:t>.  It further said, “</w:t>
      </w:r>
      <w:r w:rsidR="00880298" w:rsidRPr="00E82FE8">
        <w:t>If Oklahoma is to follow Delaware law in recognizing direct claims by corporate stockholders because Oklahoma’s corporate law is patterned after Delaware law, we should wait until Delaware decides what its law is.”</w:t>
      </w:r>
      <w:r w:rsidR="00880298" w:rsidRPr="00E82FE8">
        <w:rPr>
          <w:rStyle w:val="FootnoteReference"/>
        </w:rPr>
        <w:footnoteReference w:id="70"/>
      </w:r>
      <w:r w:rsidR="00880298" w:rsidRPr="00E82FE8">
        <w:rPr>
          <w:szCs w:val="24"/>
          <w:shd w:val="clear" w:color="auto" w:fill="FFFFFF"/>
        </w:rPr>
        <w:t xml:space="preserve">  The Oklahoma court </w:t>
      </w:r>
      <w:r w:rsidR="006D34C9" w:rsidRPr="00E82FE8">
        <w:rPr>
          <w:szCs w:val="24"/>
          <w:shd w:val="clear" w:color="auto" w:fill="FFFFFF"/>
        </w:rPr>
        <w:t xml:space="preserve">correctly </w:t>
      </w:r>
      <w:r w:rsidR="00880298" w:rsidRPr="00E82FE8">
        <w:rPr>
          <w:szCs w:val="24"/>
          <w:shd w:val="clear" w:color="auto" w:fill="FFFFFF"/>
        </w:rPr>
        <w:t xml:space="preserve">anticipated that Delaware might overrule </w:t>
      </w:r>
      <w:r w:rsidR="00880298" w:rsidRPr="00E82FE8">
        <w:rPr>
          <w:i/>
          <w:iCs/>
          <w:szCs w:val="24"/>
          <w:shd w:val="clear" w:color="auto" w:fill="FFFFFF"/>
        </w:rPr>
        <w:t>Gentile</w:t>
      </w:r>
      <w:r w:rsidR="00880298" w:rsidRPr="00E82FE8">
        <w:rPr>
          <w:szCs w:val="24"/>
          <w:shd w:val="clear" w:color="auto" w:fill="FFFFFF"/>
        </w:rPr>
        <w:t xml:space="preserve"> and thus it has occurred.</w:t>
      </w:r>
    </w:p>
    <w:p w14:paraId="4F788266" w14:textId="4D20F643" w:rsidR="00620E54" w:rsidRPr="00E82FE8" w:rsidRDefault="005605DE" w:rsidP="004E593B">
      <w:r w:rsidRPr="00E82FE8">
        <w:t xml:space="preserve">The </w:t>
      </w:r>
      <w:r w:rsidR="006D34C9" w:rsidRPr="00E82FE8">
        <w:t xml:space="preserve">second significant derivative case was the </w:t>
      </w:r>
      <w:r w:rsidR="00620E54" w:rsidRPr="00E82FE8">
        <w:t>Delaware Supreme Court</w:t>
      </w:r>
      <w:r w:rsidR="006D34C9" w:rsidRPr="00E82FE8">
        <w:t>’s decision</w:t>
      </w:r>
      <w:r w:rsidR="00620E54" w:rsidRPr="00E82FE8">
        <w:t xml:space="preserve"> in </w:t>
      </w:r>
      <w:r w:rsidR="00620E54" w:rsidRPr="00E82FE8">
        <w:rPr>
          <w:i/>
          <w:iCs/>
        </w:rPr>
        <w:t>United Food and Commercial Workers Union v. Zuckerberg et al</w:t>
      </w:r>
      <w:r w:rsidR="00620E54" w:rsidRPr="00E82FE8">
        <w:t>.</w:t>
      </w:r>
      <w:r w:rsidR="006D34C9" w:rsidRPr="00E82FE8">
        <w:rPr>
          <w:rStyle w:val="FootnoteReference"/>
        </w:rPr>
        <w:footnoteReference w:id="71"/>
      </w:r>
      <w:r w:rsidR="006D34C9" w:rsidRPr="00E82FE8">
        <w:t xml:space="preserve">  The Court </w:t>
      </w:r>
      <w:r w:rsidR="007F6C20" w:rsidRPr="00E82FE8">
        <w:t xml:space="preserve">updated </w:t>
      </w:r>
      <w:r w:rsidR="00620E54" w:rsidRPr="00E82FE8">
        <w:t xml:space="preserve">the </w:t>
      </w:r>
      <w:r w:rsidRPr="00E82FE8">
        <w:t>“</w:t>
      </w:r>
      <w:r w:rsidR="00620E54" w:rsidRPr="00E82FE8">
        <w:t>universal test for assessing whether demand should be excused as futile.</w:t>
      </w:r>
      <w:r w:rsidRPr="00E82FE8">
        <w:t>”</w:t>
      </w:r>
      <w:r w:rsidR="00620E54" w:rsidRPr="00E82FE8">
        <w:t xml:space="preserve"> </w:t>
      </w:r>
      <w:r w:rsidRPr="00E82FE8">
        <w:t xml:space="preserve"> </w:t>
      </w:r>
      <w:r w:rsidR="00620E54" w:rsidRPr="00E82FE8">
        <w:t xml:space="preserve">In so doing, it blended the two traditional demand futility tests from </w:t>
      </w:r>
      <w:r w:rsidR="00620E54" w:rsidRPr="00E82FE8">
        <w:rPr>
          <w:i/>
          <w:iCs/>
        </w:rPr>
        <w:t>Aronson v. Lewis</w:t>
      </w:r>
      <w:r w:rsidR="00653C14" w:rsidRPr="00E82FE8">
        <w:rPr>
          <w:rStyle w:val="FootnoteReference"/>
        </w:rPr>
        <w:footnoteReference w:id="72"/>
      </w:r>
      <w:r w:rsidR="00620E54" w:rsidRPr="00E82FE8">
        <w:t xml:space="preserve"> and </w:t>
      </w:r>
      <w:r w:rsidR="00620E54" w:rsidRPr="00E82FE8">
        <w:rPr>
          <w:i/>
          <w:iCs/>
        </w:rPr>
        <w:t>Rales v. Blasband</w:t>
      </w:r>
      <w:r w:rsidR="00620E54" w:rsidRPr="00E82FE8">
        <w:t>.</w:t>
      </w:r>
      <w:r w:rsidR="00653C14" w:rsidRPr="00E82FE8">
        <w:rPr>
          <w:rStyle w:val="FootnoteReference"/>
        </w:rPr>
        <w:footnoteReference w:id="73"/>
      </w:r>
    </w:p>
    <w:p w14:paraId="3619AF26" w14:textId="746F4FDD" w:rsidR="00653C14" w:rsidRPr="00E82FE8" w:rsidRDefault="00E27A43" w:rsidP="004E593B">
      <w:pPr>
        <w:rPr>
          <w:rFonts w:eastAsia="Times New Roman"/>
        </w:rPr>
      </w:pPr>
      <w:r w:rsidRPr="00E82FE8">
        <w:t>Under</w:t>
      </w:r>
      <w:r w:rsidR="00653C14" w:rsidRPr="00E82FE8">
        <w:t xml:space="preserve"> </w:t>
      </w:r>
      <w:r w:rsidR="00653C14" w:rsidRPr="00E82FE8">
        <w:rPr>
          <w:i/>
          <w:iCs/>
        </w:rPr>
        <w:t>Aronson</w:t>
      </w:r>
      <w:r w:rsidR="00653C14" w:rsidRPr="00E82FE8">
        <w:t xml:space="preserve">, </w:t>
      </w:r>
      <w:r w:rsidR="006A4D35" w:rsidRPr="00E82FE8">
        <w:t xml:space="preserve">demand might be futile when the </w:t>
      </w:r>
      <w:r w:rsidR="007F6C20" w:rsidRPr="00E82FE8">
        <w:rPr>
          <w:rFonts w:eastAsia="Times New Roman"/>
        </w:rPr>
        <w:t xml:space="preserve">board </w:t>
      </w:r>
      <w:r w:rsidR="006A4D35" w:rsidRPr="00E82FE8">
        <w:rPr>
          <w:rFonts w:eastAsia="Times New Roman"/>
        </w:rPr>
        <w:t xml:space="preserve">is </w:t>
      </w:r>
      <w:r w:rsidR="007F6C20" w:rsidRPr="00E82FE8">
        <w:rPr>
          <w:rFonts w:eastAsia="Times New Roman"/>
        </w:rPr>
        <w:t xml:space="preserve">evaluating </w:t>
      </w:r>
      <w:r w:rsidR="006A4D35" w:rsidRPr="00E82FE8">
        <w:rPr>
          <w:rFonts w:eastAsia="Times New Roman"/>
        </w:rPr>
        <w:t xml:space="preserve">its own prior </w:t>
      </w:r>
      <w:r w:rsidR="00653C14" w:rsidRPr="00E82FE8">
        <w:rPr>
          <w:rFonts w:eastAsia="Times New Roman"/>
        </w:rPr>
        <w:t>decision</w:t>
      </w:r>
      <w:r w:rsidR="007F6C20" w:rsidRPr="00E82FE8">
        <w:rPr>
          <w:rFonts w:eastAsia="Times New Roman"/>
        </w:rPr>
        <w:t>.</w:t>
      </w:r>
      <w:r w:rsidR="006A4D35" w:rsidRPr="00E82FE8">
        <w:rPr>
          <w:rFonts w:eastAsia="Times New Roman"/>
        </w:rPr>
        <w:t xml:space="preserve"> </w:t>
      </w:r>
      <w:r w:rsidR="00653C14" w:rsidRPr="00E82FE8">
        <w:rPr>
          <w:rFonts w:eastAsia="Times New Roman"/>
        </w:rPr>
        <w:t xml:space="preserve"> In those cases, demand </w:t>
      </w:r>
      <w:r w:rsidR="006A4D35" w:rsidRPr="00E82FE8">
        <w:rPr>
          <w:rFonts w:eastAsia="Times New Roman"/>
        </w:rPr>
        <w:t>is</w:t>
      </w:r>
      <w:r w:rsidR="00653C14" w:rsidRPr="00E82FE8">
        <w:rPr>
          <w:rFonts w:eastAsia="Times New Roman"/>
        </w:rPr>
        <w:t xml:space="preserve"> futile if the complaint raised a reasonable doubt that the directors were </w:t>
      </w:r>
      <w:r w:rsidR="006A4D35" w:rsidRPr="00E82FE8">
        <w:rPr>
          <w:rFonts w:eastAsia="Times New Roman"/>
        </w:rPr>
        <w:t>dis</w:t>
      </w:r>
      <w:r w:rsidR="00653C14" w:rsidRPr="00E82FE8">
        <w:rPr>
          <w:rFonts w:eastAsia="Times New Roman"/>
        </w:rPr>
        <w:t xml:space="preserve">interested and independent, or if the challenged transaction was otherwise the product of a valid business judgment.  The test under </w:t>
      </w:r>
      <w:r w:rsidR="00653C14" w:rsidRPr="00E82FE8">
        <w:rPr>
          <w:rFonts w:eastAsia="Times New Roman"/>
          <w:i/>
          <w:iCs/>
        </w:rPr>
        <w:t>Rales</w:t>
      </w:r>
      <w:r w:rsidR="00653C14" w:rsidRPr="00E82FE8">
        <w:rPr>
          <w:rFonts w:eastAsia="Times New Roman"/>
        </w:rPr>
        <w:t xml:space="preserve"> deems the demand futile if the</w:t>
      </w:r>
      <w:r w:rsidRPr="00E82FE8">
        <w:rPr>
          <w:rFonts w:eastAsia="Times New Roman"/>
        </w:rPr>
        <w:t xml:space="preserve">re is </w:t>
      </w:r>
      <w:r w:rsidR="00653C14" w:rsidRPr="00E82FE8">
        <w:rPr>
          <w:rFonts w:eastAsia="Times New Roman"/>
        </w:rPr>
        <w:t>reasonable doubt that a majority of the demand board could exercise its independent and disinterested business judgment in responding to the demand</w:t>
      </w:r>
      <w:r w:rsidR="00515DF9" w:rsidRPr="00E82FE8">
        <w:rPr>
          <w:rFonts w:eastAsia="Times New Roman"/>
        </w:rPr>
        <w:t>.</w:t>
      </w:r>
    </w:p>
    <w:p w14:paraId="6D2CAEE8" w14:textId="2607C21B" w:rsidR="00515DF9" w:rsidRPr="00E82FE8" w:rsidRDefault="00515DF9" w:rsidP="004E593B">
      <w:pPr>
        <w:rPr>
          <w:rFonts w:eastAsia="Times New Roman"/>
        </w:rPr>
      </w:pPr>
      <w:r w:rsidRPr="00E82FE8">
        <w:rPr>
          <w:rFonts w:eastAsia="Times New Roman"/>
        </w:rPr>
        <w:t xml:space="preserve">Applying the </w:t>
      </w:r>
      <w:r w:rsidRPr="00E82FE8">
        <w:rPr>
          <w:rFonts w:eastAsia="Times New Roman"/>
          <w:i/>
          <w:iCs/>
        </w:rPr>
        <w:t>Aronson</w:t>
      </w:r>
      <w:r w:rsidRPr="00E82FE8">
        <w:rPr>
          <w:rFonts w:eastAsia="Times New Roman"/>
        </w:rPr>
        <w:t xml:space="preserve"> test could be difficult when the board’s composition had shifted </w:t>
      </w:r>
      <w:r w:rsidR="006A4D35" w:rsidRPr="00E82FE8">
        <w:rPr>
          <w:rFonts w:eastAsia="Times New Roman"/>
        </w:rPr>
        <w:t xml:space="preserve">between the initial decision and the demand response.  </w:t>
      </w:r>
      <w:r w:rsidR="00260F7B" w:rsidRPr="00E82FE8">
        <w:rPr>
          <w:rFonts w:eastAsia="Times New Roman"/>
        </w:rPr>
        <w:t xml:space="preserve">Was it the “same” board for purposes of applying </w:t>
      </w:r>
      <w:r w:rsidR="00260F7B" w:rsidRPr="00E82FE8">
        <w:rPr>
          <w:rFonts w:eastAsia="Times New Roman"/>
          <w:i/>
          <w:iCs/>
        </w:rPr>
        <w:t>Aronson</w:t>
      </w:r>
      <w:r w:rsidR="00260F7B" w:rsidRPr="00E82FE8">
        <w:rPr>
          <w:rFonts w:eastAsia="Times New Roman"/>
        </w:rPr>
        <w:t xml:space="preserve">?  </w:t>
      </w:r>
      <w:r w:rsidR="00E27A43" w:rsidRPr="00E82FE8">
        <w:rPr>
          <w:rFonts w:eastAsia="Times New Roman"/>
          <w:i/>
          <w:iCs/>
        </w:rPr>
        <w:t>Aronson</w:t>
      </w:r>
      <w:r w:rsidR="00E27A43" w:rsidRPr="00E82FE8">
        <w:rPr>
          <w:rFonts w:eastAsia="Times New Roman"/>
        </w:rPr>
        <w:t xml:space="preserve"> also </w:t>
      </w:r>
      <w:r w:rsidR="0008741E" w:rsidRPr="00E82FE8">
        <w:rPr>
          <w:rFonts w:eastAsia="Times New Roman"/>
        </w:rPr>
        <w:t xml:space="preserve">did not say how </w:t>
      </w:r>
      <w:r w:rsidR="005762D4" w:rsidRPr="00E82FE8">
        <w:rPr>
          <w:rFonts w:eastAsia="Times New Roman"/>
        </w:rPr>
        <w:t xml:space="preserve">to assess </w:t>
      </w:r>
      <w:r w:rsidR="0008741E" w:rsidRPr="00E82FE8">
        <w:rPr>
          <w:rFonts w:eastAsia="Times New Roman"/>
        </w:rPr>
        <w:t xml:space="preserve">the directors’ disinterestedness and independence when the directors’ personal liability was limited by statute and thus </w:t>
      </w:r>
      <w:r w:rsidR="00D24E5B" w:rsidRPr="00E82FE8">
        <w:rPr>
          <w:rFonts w:eastAsia="Times New Roman"/>
        </w:rPr>
        <w:t xml:space="preserve">they faced </w:t>
      </w:r>
      <w:r w:rsidR="005762D4" w:rsidRPr="00E82FE8">
        <w:rPr>
          <w:rFonts w:eastAsia="Times New Roman"/>
        </w:rPr>
        <w:t>no financial exposure</w:t>
      </w:r>
      <w:r w:rsidR="0008741E" w:rsidRPr="00E82FE8">
        <w:rPr>
          <w:rFonts w:eastAsia="Times New Roman"/>
        </w:rPr>
        <w:t>.</w:t>
      </w:r>
      <w:r w:rsidRPr="00E82FE8">
        <w:rPr>
          <w:rFonts w:eastAsia="Times New Roman"/>
        </w:rPr>
        <w:t xml:space="preserve"> </w:t>
      </w:r>
    </w:p>
    <w:p w14:paraId="1EE83919" w14:textId="0CCC8F5A" w:rsidR="00515DF9" w:rsidRPr="00E82FE8" w:rsidRDefault="00515DF9" w:rsidP="004E593B">
      <w:pPr>
        <w:rPr>
          <w:rFonts w:eastAsia="Times New Roman"/>
        </w:rPr>
      </w:pPr>
      <w:r w:rsidRPr="00E82FE8">
        <w:rPr>
          <w:rFonts w:eastAsia="Times New Roman"/>
        </w:rPr>
        <w:t xml:space="preserve">Under the new </w:t>
      </w:r>
      <w:r w:rsidRPr="00E82FE8">
        <w:rPr>
          <w:rFonts w:eastAsia="Times New Roman"/>
          <w:i/>
          <w:iCs/>
        </w:rPr>
        <w:t>Zuckerberg</w:t>
      </w:r>
      <w:r w:rsidRPr="00E82FE8">
        <w:rPr>
          <w:rFonts w:eastAsia="Times New Roman"/>
        </w:rPr>
        <w:t xml:space="preserve"> test, the court determines demand futility by asking three questions: </w:t>
      </w:r>
    </w:p>
    <w:p w14:paraId="6D21A0C5" w14:textId="190C4BC3" w:rsidR="00515DF9" w:rsidRPr="00E82FE8" w:rsidRDefault="00515DF9" w:rsidP="00B94D13">
      <w:pPr>
        <w:pStyle w:val="ListParagraph"/>
        <w:numPr>
          <w:ilvl w:val="0"/>
          <w:numId w:val="31"/>
        </w:numPr>
        <w:shd w:val="clear" w:color="auto" w:fill="FFFFFF"/>
        <w:spacing w:line="320" w:lineRule="atLeast"/>
        <w:ind w:left="1080"/>
        <w:contextualSpacing w:val="0"/>
        <w:rPr>
          <w:rFonts w:eastAsia="Times New Roman"/>
        </w:rPr>
      </w:pPr>
      <w:r w:rsidRPr="00E82FE8">
        <w:rPr>
          <w:rFonts w:eastAsia="Times New Roman"/>
        </w:rPr>
        <w:t>did the director received a material personal benefit from the alleged misconduct that is the subject of the litigation demand;</w:t>
      </w:r>
    </w:p>
    <w:p w14:paraId="3E21A060" w14:textId="3CDA0DDA" w:rsidR="00515DF9" w:rsidRPr="00E82FE8" w:rsidRDefault="00515DF9" w:rsidP="00B94D13">
      <w:pPr>
        <w:pStyle w:val="ListParagraph"/>
        <w:numPr>
          <w:ilvl w:val="0"/>
          <w:numId w:val="31"/>
        </w:numPr>
        <w:shd w:val="clear" w:color="auto" w:fill="FFFFFF"/>
        <w:spacing w:line="320" w:lineRule="atLeast"/>
        <w:ind w:left="1080"/>
        <w:contextualSpacing w:val="0"/>
        <w:rPr>
          <w:rFonts w:eastAsia="Times New Roman"/>
        </w:rPr>
      </w:pPr>
      <w:r w:rsidRPr="00E82FE8">
        <w:rPr>
          <w:rFonts w:eastAsia="Times New Roman"/>
        </w:rPr>
        <w:t xml:space="preserve">does the director face a substantial likelihood of </w:t>
      </w:r>
      <w:r w:rsidR="005762D4" w:rsidRPr="00E82FE8">
        <w:rPr>
          <w:rFonts w:eastAsia="Times New Roman"/>
        </w:rPr>
        <w:t xml:space="preserve">personal </w:t>
      </w:r>
      <w:r w:rsidRPr="00E82FE8">
        <w:rPr>
          <w:rFonts w:eastAsia="Times New Roman"/>
        </w:rPr>
        <w:t>liability on any of the claims that are the subject of the demand; and</w:t>
      </w:r>
    </w:p>
    <w:p w14:paraId="2B1251A0" w14:textId="229CEF81" w:rsidR="00515DF9" w:rsidRPr="00E82FE8" w:rsidRDefault="00515DF9" w:rsidP="00B94D13">
      <w:pPr>
        <w:pStyle w:val="ListParagraph"/>
        <w:numPr>
          <w:ilvl w:val="0"/>
          <w:numId w:val="31"/>
        </w:numPr>
        <w:shd w:val="clear" w:color="auto" w:fill="FFFFFF"/>
        <w:spacing w:line="320" w:lineRule="atLeast"/>
        <w:ind w:left="1080"/>
        <w:contextualSpacing w:val="0"/>
        <w:rPr>
          <w:rFonts w:eastAsia="Times New Roman"/>
        </w:rPr>
      </w:pPr>
      <w:r w:rsidRPr="00E82FE8">
        <w:rPr>
          <w:rFonts w:eastAsia="Times New Roman"/>
        </w:rPr>
        <w:t>does the director lack independence from someone who received a material personal benefit from the alleged misconduct or who would face a substantial likelihood of liability on any of the claims that are the subject of the demand.</w:t>
      </w:r>
    </w:p>
    <w:p w14:paraId="1EA417EF" w14:textId="025DB5D7" w:rsidR="00515DF9" w:rsidRPr="00E82FE8" w:rsidRDefault="00515DF9" w:rsidP="0062334A">
      <w:pPr>
        <w:spacing w:before="240"/>
      </w:pPr>
      <w:r w:rsidRPr="00E82FE8">
        <w:t xml:space="preserve">If the answer to any </w:t>
      </w:r>
      <w:r w:rsidR="00F03FC9" w:rsidRPr="00E82FE8">
        <w:rPr>
          <w:rFonts w:eastAsia="Times New Roman"/>
        </w:rPr>
        <w:t>question is “yes” for at least half of the board, demand is excused as futile.</w:t>
      </w:r>
    </w:p>
    <w:p w14:paraId="38042EF8" w14:textId="36645D40" w:rsidR="00D9602B" w:rsidRPr="00E82FE8" w:rsidRDefault="00491EC2" w:rsidP="005762D4">
      <w:r w:rsidRPr="00E82FE8">
        <w:t xml:space="preserve">To appreciate the significance of these two cases, we should revisit the rules for shareholder derivative actions.  </w:t>
      </w:r>
      <w:r w:rsidR="00D9602B" w:rsidRPr="00E82FE8">
        <w:t xml:space="preserve">In the </w:t>
      </w:r>
      <w:r w:rsidR="00D9602B" w:rsidRPr="00E82FE8">
        <w:rPr>
          <w:i/>
          <w:iCs/>
        </w:rPr>
        <w:t>Brookfield</w:t>
      </w:r>
      <w:r w:rsidR="00D9602B" w:rsidRPr="00E82FE8">
        <w:t xml:space="preserve"> case, the characterization of a claim as direct or derivative is important since a direct claim does not allege an injury to the shareholders generally.  It claims a special injury to a particular shareholder or group of shareholders.  </w:t>
      </w:r>
      <w:r w:rsidR="00DD6DC8" w:rsidRPr="00E82FE8">
        <w:t>Thus</w:t>
      </w:r>
      <w:r w:rsidR="00B94D13" w:rsidRPr="00E82FE8">
        <w:t>,</w:t>
      </w:r>
      <w:r w:rsidR="00DD6DC8" w:rsidRPr="00E82FE8">
        <w:t xml:space="preserve"> the direct claim is not a corporate asset.  It belongs to </w:t>
      </w:r>
      <w:r w:rsidR="00D9602B" w:rsidRPr="00E82FE8">
        <w:t xml:space="preserve">the injured shareholder and not the corporation. </w:t>
      </w:r>
      <w:r w:rsidR="00B94D13" w:rsidRPr="00E82FE8">
        <w:t xml:space="preserve"> The shareholder/claimant can sue without making demand on the corporation’s board.</w:t>
      </w:r>
    </w:p>
    <w:p w14:paraId="10677C00" w14:textId="5E101A08" w:rsidR="00491EC2" w:rsidRPr="00E82FE8" w:rsidRDefault="0082468D" w:rsidP="004E593B">
      <w:r w:rsidRPr="00E82FE8">
        <w:t>A shareholder’s derivat</w:t>
      </w:r>
      <w:r w:rsidR="00646405" w:rsidRPr="00E82FE8">
        <w:t>iv</w:t>
      </w:r>
      <w:r w:rsidRPr="00E82FE8">
        <w:t>e action is premised on an alleged injury to the shareholders</w:t>
      </w:r>
      <w:r w:rsidR="00DD6DC8" w:rsidRPr="00E82FE8">
        <w:t xml:space="preserve"> generally</w:t>
      </w:r>
      <w:r w:rsidRPr="00E82FE8">
        <w:t>.</w:t>
      </w:r>
      <w:r w:rsidR="00D746D2" w:rsidRPr="00E82FE8">
        <w:t xml:space="preserve">  If a claim exists, it is an asset of the corporation and presumably subject to board control.</w:t>
      </w:r>
      <w:r w:rsidRPr="00E82FE8">
        <w:t xml:space="preserve">  </w:t>
      </w:r>
      <w:r w:rsidR="00D92FCE" w:rsidRPr="00E82FE8">
        <w:t xml:space="preserve">A shareholder’s ability to bring a derivative action </w:t>
      </w:r>
      <w:r w:rsidR="00D746D2" w:rsidRPr="00E82FE8">
        <w:t xml:space="preserve">– to represent the corporation in court – is </w:t>
      </w:r>
      <w:r w:rsidR="00D92FCE" w:rsidRPr="00E82FE8">
        <w:t xml:space="preserve">an exception to the assumption that the board of directors, not the shareholders, manage </w:t>
      </w:r>
      <w:r w:rsidR="00DD6DC8" w:rsidRPr="00E82FE8">
        <w:t xml:space="preserve">the </w:t>
      </w:r>
      <w:r w:rsidR="00D92FCE" w:rsidRPr="00E82FE8">
        <w:t xml:space="preserve">corporation’s affairs. </w:t>
      </w:r>
    </w:p>
    <w:p w14:paraId="1A362E61" w14:textId="24A5A7ED" w:rsidR="00D92FCE" w:rsidRPr="00E82FE8" w:rsidRDefault="00DD6DC8" w:rsidP="004E593B">
      <w:pPr>
        <w:rPr>
          <w:rFonts w:eastAsia="Times New Roman"/>
          <w:szCs w:val="24"/>
        </w:rPr>
      </w:pPr>
      <w:r w:rsidRPr="00E82FE8">
        <w:t>T</w:t>
      </w:r>
      <w:r w:rsidRPr="00E82FE8">
        <w:rPr>
          <w:rFonts w:eastAsia="Times New Roman"/>
          <w:szCs w:val="24"/>
        </w:rPr>
        <w:t xml:space="preserve">o protect the presumption of board control, the law </w:t>
      </w:r>
      <w:r w:rsidR="00D746D2" w:rsidRPr="00E82FE8">
        <w:rPr>
          <w:rFonts w:eastAsia="Times New Roman"/>
          <w:szCs w:val="24"/>
        </w:rPr>
        <w:t xml:space="preserve">imposes </w:t>
      </w:r>
      <w:r w:rsidRPr="00E82FE8">
        <w:rPr>
          <w:rFonts w:eastAsia="Times New Roman"/>
          <w:szCs w:val="24"/>
        </w:rPr>
        <w:t xml:space="preserve">several prerequisites on derivative actions.  A shareholder must show continuous stock ownership and that demand to pursue the claim first was directed to and rejected by the corporation’s </w:t>
      </w:r>
      <w:r w:rsidR="0000039C" w:rsidRPr="00E82FE8">
        <w:rPr>
          <w:rFonts w:eastAsia="Times New Roman"/>
          <w:szCs w:val="24"/>
        </w:rPr>
        <w:t xml:space="preserve">board.  A shareholder can avoid making demand if she or he can show that </w:t>
      </w:r>
      <w:r w:rsidRPr="00E82FE8">
        <w:rPr>
          <w:rFonts w:eastAsia="Times New Roman"/>
          <w:szCs w:val="24"/>
        </w:rPr>
        <w:t xml:space="preserve">demand would be futile </w:t>
      </w:r>
      <w:r w:rsidR="0000039C" w:rsidRPr="00E82FE8">
        <w:rPr>
          <w:rFonts w:eastAsia="Times New Roman"/>
          <w:szCs w:val="24"/>
        </w:rPr>
        <w:t xml:space="preserve">under the new </w:t>
      </w:r>
      <w:r w:rsidR="0000039C" w:rsidRPr="00E82FE8">
        <w:rPr>
          <w:rFonts w:eastAsia="Times New Roman"/>
          <w:i/>
          <w:iCs/>
          <w:szCs w:val="24"/>
          <w:bdr w:val="none" w:sz="0" w:space="0" w:color="auto" w:frame="1"/>
        </w:rPr>
        <w:t>Zuckerberg</w:t>
      </w:r>
      <w:r w:rsidR="0000039C" w:rsidRPr="00E82FE8">
        <w:rPr>
          <w:rFonts w:eastAsia="Times New Roman"/>
          <w:szCs w:val="24"/>
        </w:rPr>
        <w:t xml:space="preserve"> test.</w:t>
      </w:r>
    </w:p>
    <w:p w14:paraId="73F5E079" w14:textId="3D1623B6" w:rsidR="0000039C" w:rsidRPr="00E82FE8" w:rsidRDefault="0000039C" w:rsidP="004E593B">
      <w:r w:rsidRPr="00E82FE8">
        <w:rPr>
          <w:rFonts w:eastAsia="Times New Roman"/>
          <w:szCs w:val="24"/>
        </w:rPr>
        <w:t xml:space="preserve">Both the direct/derivative distinction and demand futility relate to the larger question of whether a </w:t>
      </w:r>
      <w:r w:rsidR="00E04888" w:rsidRPr="00E82FE8">
        <w:rPr>
          <w:rFonts w:eastAsia="Times New Roman"/>
          <w:szCs w:val="24"/>
        </w:rPr>
        <w:t xml:space="preserve">shareholder </w:t>
      </w:r>
      <w:r w:rsidRPr="00E82FE8">
        <w:rPr>
          <w:rFonts w:eastAsia="Times New Roman"/>
          <w:szCs w:val="24"/>
        </w:rPr>
        <w:t xml:space="preserve">has standing to bring </w:t>
      </w:r>
      <w:r w:rsidR="00E04888" w:rsidRPr="00E82FE8">
        <w:rPr>
          <w:rFonts w:eastAsia="Times New Roman"/>
          <w:szCs w:val="24"/>
        </w:rPr>
        <w:t xml:space="preserve">the </w:t>
      </w:r>
      <w:r w:rsidRPr="00E82FE8">
        <w:rPr>
          <w:rFonts w:eastAsia="Times New Roman"/>
          <w:szCs w:val="24"/>
        </w:rPr>
        <w:t xml:space="preserve">claim. </w:t>
      </w:r>
      <w:r w:rsidR="00275AD4" w:rsidRPr="00E82FE8">
        <w:rPr>
          <w:rFonts w:eastAsia="Times New Roman"/>
          <w:szCs w:val="24"/>
        </w:rPr>
        <w:t xml:space="preserve"> </w:t>
      </w:r>
      <w:r w:rsidR="00E04888" w:rsidRPr="00E82FE8">
        <w:rPr>
          <w:rFonts w:eastAsia="Times New Roman"/>
          <w:szCs w:val="24"/>
        </w:rPr>
        <w:t xml:space="preserve">This resolution of these issues </w:t>
      </w:r>
      <w:r w:rsidRPr="00E82FE8">
        <w:rPr>
          <w:rFonts w:eastAsia="Times New Roman"/>
          <w:szCs w:val="24"/>
        </w:rPr>
        <w:t xml:space="preserve">can mean the difference between a favorable judgment and claims being dismissed. </w:t>
      </w:r>
      <w:r w:rsidR="00E04888" w:rsidRPr="00E82FE8">
        <w:rPr>
          <w:rFonts w:eastAsia="Times New Roman"/>
          <w:szCs w:val="24"/>
        </w:rPr>
        <w:t xml:space="preserve"> </w:t>
      </w:r>
      <w:r w:rsidRPr="00E82FE8">
        <w:rPr>
          <w:rFonts w:eastAsia="Times New Roman"/>
          <w:szCs w:val="24"/>
        </w:rPr>
        <w:t>Th</w:t>
      </w:r>
      <w:r w:rsidR="00E04888" w:rsidRPr="00E82FE8">
        <w:rPr>
          <w:rFonts w:eastAsia="Times New Roman"/>
          <w:szCs w:val="24"/>
        </w:rPr>
        <w:t xml:space="preserve">e </w:t>
      </w:r>
      <w:r w:rsidRPr="00E82FE8">
        <w:rPr>
          <w:rFonts w:eastAsia="Times New Roman"/>
          <w:szCs w:val="24"/>
        </w:rPr>
        <w:t xml:space="preserve">clarifications in </w:t>
      </w:r>
      <w:r w:rsidRPr="00E82FE8">
        <w:rPr>
          <w:rFonts w:eastAsia="Times New Roman"/>
          <w:i/>
          <w:iCs/>
          <w:szCs w:val="24"/>
          <w:bdr w:val="none" w:sz="0" w:space="0" w:color="auto" w:frame="1"/>
        </w:rPr>
        <w:t xml:space="preserve">Brookfield </w:t>
      </w:r>
      <w:r w:rsidRPr="00E82FE8">
        <w:rPr>
          <w:rFonts w:eastAsia="Times New Roman"/>
          <w:szCs w:val="24"/>
        </w:rPr>
        <w:t xml:space="preserve">and </w:t>
      </w:r>
      <w:r w:rsidRPr="00E82FE8">
        <w:rPr>
          <w:rFonts w:eastAsia="Times New Roman"/>
          <w:i/>
          <w:iCs/>
          <w:szCs w:val="24"/>
          <w:bdr w:val="none" w:sz="0" w:space="0" w:color="auto" w:frame="1"/>
        </w:rPr>
        <w:t xml:space="preserve">Zuckerberg </w:t>
      </w:r>
      <w:r w:rsidRPr="00E82FE8">
        <w:rPr>
          <w:rFonts w:eastAsia="Times New Roman"/>
          <w:szCs w:val="24"/>
        </w:rPr>
        <w:t xml:space="preserve">are important </w:t>
      </w:r>
      <w:r w:rsidR="00E04888" w:rsidRPr="00E82FE8">
        <w:rPr>
          <w:rFonts w:eastAsia="Times New Roman"/>
          <w:szCs w:val="24"/>
        </w:rPr>
        <w:t xml:space="preserve">guidance in </w:t>
      </w:r>
      <w:r w:rsidRPr="00E82FE8">
        <w:rPr>
          <w:rFonts w:eastAsia="Times New Roman"/>
          <w:szCs w:val="24"/>
        </w:rPr>
        <w:t>corporate litigation.</w:t>
      </w:r>
    </w:p>
    <w:p w14:paraId="4D0DA9D3" w14:textId="77777777" w:rsidR="00090872" w:rsidRDefault="00275AD4" w:rsidP="00275AD4">
      <w:pPr>
        <w:rPr>
          <w:rStyle w:val="Strong"/>
          <w:b w:val="0"/>
          <w:bCs w:val="0"/>
          <w:spacing w:val="3"/>
          <w:szCs w:val="24"/>
          <w:shd w:val="clear" w:color="auto" w:fill="FFFFFF"/>
        </w:rPr>
      </w:pPr>
      <w:r w:rsidRPr="00E82FE8">
        <w:rPr>
          <w:rStyle w:val="Strong"/>
          <w:b w:val="0"/>
          <w:bCs w:val="0"/>
          <w:spacing w:val="3"/>
          <w:szCs w:val="24"/>
          <w:shd w:val="clear" w:color="auto" w:fill="FFFFFF"/>
        </w:rPr>
        <w:t xml:space="preserve">In </w:t>
      </w:r>
      <w:r w:rsidRPr="00E82FE8">
        <w:rPr>
          <w:rStyle w:val="Strong"/>
          <w:b w:val="0"/>
          <w:bCs w:val="0"/>
          <w:i/>
          <w:iCs/>
          <w:spacing w:val="3"/>
          <w:szCs w:val="24"/>
          <w:shd w:val="clear" w:color="auto" w:fill="FFFFFF"/>
        </w:rPr>
        <w:t>Manichaean Capital, LLC v. Exela Tech., Inc.</w:t>
      </w:r>
      <w:r w:rsidRPr="00E82FE8">
        <w:rPr>
          <w:rStyle w:val="Strong"/>
          <w:b w:val="0"/>
          <w:bCs w:val="0"/>
          <w:spacing w:val="3"/>
          <w:szCs w:val="24"/>
          <w:shd w:val="clear" w:color="auto" w:fill="FFFFFF"/>
        </w:rPr>
        <w:t>,</w:t>
      </w:r>
      <w:r w:rsidR="00B06CDD" w:rsidRPr="00E82FE8">
        <w:rPr>
          <w:rStyle w:val="FootnoteReference"/>
          <w:spacing w:val="3"/>
          <w:szCs w:val="24"/>
          <w:shd w:val="clear" w:color="auto" w:fill="FFFFFF"/>
        </w:rPr>
        <w:footnoteReference w:id="74"/>
      </w:r>
      <w:r w:rsidRPr="00E82FE8">
        <w:rPr>
          <w:rStyle w:val="Strong"/>
          <w:b w:val="0"/>
          <w:bCs w:val="0"/>
          <w:spacing w:val="3"/>
          <w:szCs w:val="24"/>
          <w:shd w:val="clear" w:color="auto" w:fill="FFFFFF"/>
        </w:rPr>
        <w:t xml:space="preserve"> the Court of Chancery ruled as a matter of first impression in Delaware that plaintiffs could pursue “reverse veil piercing” claims against the subsidiaries of a </w:t>
      </w:r>
      <w:r w:rsidR="002D78C6" w:rsidRPr="00E82FE8">
        <w:rPr>
          <w:rStyle w:val="Strong"/>
          <w:b w:val="0"/>
          <w:bCs w:val="0"/>
          <w:spacing w:val="3"/>
          <w:szCs w:val="24"/>
          <w:shd w:val="clear" w:color="auto" w:fill="FFFFFF"/>
        </w:rPr>
        <w:t xml:space="preserve">parent </w:t>
      </w:r>
      <w:r w:rsidRPr="00E82FE8">
        <w:rPr>
          <w:rStyle w:val="Strong"/>
          <w:b w:val="0"/>
          <w:bCs w:val="0"/>
          <w:spacing w:val="3"/>
          <w:szCs w:val="24"/>
          <w:shd w:val="clear" w:color="auto" w:fill="FFFFFF"/>
        </w:rPr>
        <w:t xml:space="preserve">defendant accused of abusing the corporate form to avoid paying an appraisal judgment from the Delaware courts. </w:t>
      </w:r>
      <w:r w:rsidR="002D78C6" w:rsidRPr="00E82FE8">
        <w:rPr>
          <w:rStyle w:val="Strong"/>
          <w:b w:val="0"/>
          <w:bCs w:val="0"/>
          <w:spacing w:val="3"/>
          <w:szCs w:val="24"/>
          <w:shd w:val="clear" w:color="auto" w:fill="FFFFFF"/>
        </w:rPr>
        <w:t xml:space="preserve"> </w:t>
      </w:r>
      <w:r w:rsidRPr="00E82FE8">
        <w:rPr>
          <w:rStyle w:val="Strong"/>
          <w:b w:val="0"/>
          <w:bCs w:val="0"/>
          <w:spacing w:val="3"/>
          <w:szCs w:val="24"/>
          <w:shd w:val="clear" w:color="auto" w:fill="FFFFFF"/>
        </w:rPr>
        <w:t>The court acknowledged that reverse veil piercing claims would not be appropriate in all cases, and established a multi-part test for permit</w:t>
      </w:r>
      <w:r w:rsidR="00A76072" w:rsidRPr="00E82FE8">
        <w:rPr>
          <w:rStyle w:val="Strong"/>
          <w:b w:val="0"/>
          <w:bCs w:val="0"/>
          <w:spacing w:val="3"/>
          <w:szCs w:val="24"/>
          <w:shd w:val="clear" w:color="auto" w:fill="FFFFFF"/>
        </w:rPr>
        <w:t>ting</w:t>
      </w:r>
      <w:r w:rsidRPr="00E82FE8">
        <w:rPr>
          <w:rStyle w:val="Strong"/>
          <w:b w:val="0"/>
          <w:bCs w:val="0"/>
          <w:spacing w:val="3"/>
          <w:szCs w:val="24"/>
          <w:shd w:val="clear" w:color="auto" w:fill="FFFFFF"/>
        </w:rPr>
        <w:t xml:space="preserve"> reverse veil piercing claims to proceed.</w:t>
      </w:r>
    </w:p>
    <w:p w14:paraId="43E0368E" w14:textId="77777777" w:rsidR="00090872" w:rsidRDefault="00A76072" w:rsidP="00275AD4">
      <w:pPr>
        <w:rPr>
          <w:spacing w:val="3"/>
          <w:szCs w:val="24"/>
          <w:shd w:val="clear" w:color="auto" w:fill="FFFFFF"/>
        </w:rPr>
      </w:pPr>
      <w:r w:rsidRPr="00E82FE8">
        <w:rPr>
          <w:spacing w:val="3"/>
          <w:szCs w:val="24"/>
          <w:shd w:val="clear" w:color="auto" w:fill="FFFFFF"/>
        </w:rPr>
        <w:t xml:space="preserve">The court first </w:t>
      </w:r>
      <w:r w:rsidR="00F07CB2" w:rsidRPr="00E82FE8">
        <w:rPr>
          <w:spacing w:val="3"/>
          <w:szCs w:val="24"/>
          <w:shd w:val="clear" w:color="auto" w:fill="FFFFFF"/>
        </w:rPr>
        <w:t>consider</w:t>
      </w:r>
      <w:r w:rsidR="0056242C" w:rsidRPr="00E82FE8">
        <w:rPr>
          <w:spacing w:val="3"/>
          <w:szCs w:val="24"/>
          <w:shd w:val="clear" w:color="auto" w:fill="FFFFFF"/>
        </w:rPr>
        <w:t>s</w:t>
      </w:r>
      <w:r w:rsidR="00F07CB2" w:rsidRPr="00E82FE8">
        <w:rPr>
          <w:spacing w:val="3"/>
          <w:szCs w:val="24"/>
          <w:shd w:val="clear" w:color="auto" w:fill="FFFFFF"/>
        </w:rPr>
        <w:t xml:space="preserve"> the </w:t>
      </w:r>
      <w:r w:rsidRPr="00E82FE8">
        <w:rPr>
          <w:spacing w:val="3"/>
          <w:szCs w:val="24"/>
          <w:shd w:val="clear" w:color="auto" w:fill="FFFFFF"/>
        </w:rPr>
        <w:t xml:space="preserve">same </w:t>
      </w:r>
      <w:r w:rsidR="00F07CB2" w:rsidRPr="00E82FE8">
        <w:rPr>
          <w:spacing w:val="3"/>
          <w:szCs w:val="24"/>
          <w:shd w:val="clear" w:color="auto" w:fill="FFFFFF"/>
        </w:rPr>
        <w:t>factors use</w:t>
      </w:r>
      <w:r w:rsidRPr="00E82FE8">
        <w:rPr>
          <w:spacing w:val="3"/>
          <w:szCs w:val="24"/>
          <w:shd w:val="clear" w:color="auto" w:fill="FFFFFF"/>
        </w:rPr>
        <w:t>d</w:t>
      </w:r>
      <w:r w:rsidR="00F07CB2" w:rsidRPr="00E82FE8">
        <w:rPr>
          <w:spacing w:val="3"/>
          <w:szCs w:val="24"/>
          <w:shd w:val="clear" w:color="auto" w:fill="FFFFFF"/>
        </w:rPr>
        <w:t xml:space="preserve"> in a traditional veil-piercing analysis, including </w:t>
      </w:r>
      <w:r w:rsidR="00F17043" w:rsidRPr="00E82FE8">
        <w:rPr>
          <w:szCs w:val="24"/>
          <w:shd w:val="clear" w:color="auto" w:fill="FFFFFF"/>
        </w:rPr>
        <w:t xml:space="preserve">insolvency, undercapitalization, commingling of corporate and personal funds, the absence of corporate formalities, and </w:t>
      </w:r>
      <w:r w:rsidR="00B83C24" w:rsidRPr="00E82FE8">
        <w:rPr>
          <w:szCs w:val="24"/>
          <w:shd w:val="clear" w:color="auto" w:fill="FFFFFF"/>
        </w:rPr>
        <w:t>alter ego</w:t>
      </w:r>
      <w:r w:rsidR="00F07CB2" w:rsidRPr="00E82FE8">
        <w:rPr>
          <w:spacing w:val="3"/>
          <w:szCs w:val="24"/>
          <w:shd w:val="clear" w:color="auto" w:fill="FFFFFF"/>
        </w:rPr>
        <w:t>.</w:t>
      </w:r>
      <w:r w:rsidRPr="00E82FE8">
        <w:rPr>
          <w:spacing w:val="3"/>
          <w:szCs w:val="24"/>
          <w:shd w:val="clear" w:color="auto" w:fill="FFFFFF"/>
        </w:rPr>
        <w:t xml:space="preserve">  </w:t>
      </w:r>
      <w:r w:rsidR="0056242C" w:rsidRPr="00E82FE8">
        <w:rPr>
          <w:spacing w:val="3"/>
          <w:szCs w:val="24"/>
          <w:shd w:val="clear" w:color="auto" w:fill="FFFFFF"/>
        </w:rPr>
        <w:t xml:space="preserve">It will also determine </w:t>
      </w:r>
      <w:r w:rsidR="00F07CB2" w:rsidRPr="00E82FE8">
        <w:rPr>
          <w:spacing w:val="3"/>
          <w:szCs w:val="24"/>
          <w:shd w:val="clear" w:color="auto" w:fill="FFFFFF"/>
        </w:rPr>
        <w:t>whether the owner is utilizing the corporate form to perpetuate a fraud or injustice</w:t>
      </w:r>
      <w:r w:rsidR="00F17043" w:rsidRPr="00E82FE8">
        <w:rPr>
          <w:spacing w:val="3"/>
          <w:szCs w:val="24"/>
          <w:shd w:val="clear" w:color="auto" w:fill="FFFFFF"/>
        </w:rPr>
        <w:t xml:space="preserve">. </w:t>
      </w:r>
      <w:r w:rsidR="00B83C24" w:rsidRPr="00E82FE8">
        <w:rPr>
          <w:spacing w:val="3"/>
          <w:szCs w:val="24"/>
          <w:shd w:val="clear" w:color="auto" w:fill="FFFFFF"/>
        </w:rPr>
        <w:t xml:space="preserve"> The court then identified factors unique to reverse piercing that it should analyze.</w:t>
      </w:r>
      <w:r w:rsidR="00B83C24" w:rsidRPr="00E82FE8">
        <w:rPr>
          <w:rStyle w:val="FootnoteReference"/>
          <w:spacing w:val="3"/>
          <w:szCs w:val="24"/>
          <w:shd w:val="clear" w:color="auto" w:fill="FFFFFF"/>
        </w:rPr>
        <w:footnoteReference w:id="75"/>
      </w:r>
      <w:r w:rsidR="00B83C24" w:rsidRPr="00E82FE8">
        <w:rPr>
          <w:spacing w:val="3"/>
          <w:szCs w:val="24"/>
          <w:shd w:val="clear" w:color="auto" w:fill="FFFFFF"/>
        </w:rPr>
        <w:t xml:space="preserve"> </w:t>
      </w:r>
      <w:r w:rsidR="00F9643F" w:rsidRPr="00E82FE8">
        <w:rPr>
          <w:spacing w:val="3"/>
          <w:szCs w:val="24"/>
          <w:shd w:val="clear" w:color="auto" w:fill="FFFFFF"/>
        </w:rPr>
        <w:t xml:space="preserve"> These factors relate generally to the consequences that the reverse piercing may have on innocent third parties, who have not assisted in perpetrating the wrongs.</w:t>
      </w:r>
    </w:p>
    <w:p w14:paraId="29480D7E" w14:textId="2038F373" w:rsidR="00F9643F" w:rsidRPr="00E82FE8" w:rsidRDefault="00F9643F" w:rsidP="00275AD4">
      <w:pPr>
        <w:rPr>
          <w:spacing w:val="3"/>
          <w:szCs w:val="24"/>
          <w:shd w:val="clear" w:color="auto" w:fill="FFFFFF"/>
        </w:rPr>
      </w:pPr>
      <w:r w:rsidRPr="00E82FE8">
        <w:rPr>
          <w:spacing w:val="3"/>
          <w:szCs w:val="24"/>
          <w:shd w:val="clear" w:color="auto" w:fill="FFFFFF"/>
        </w:rPr>
        <w:t>The court concludes by stating, “</w:t>
      </w:r>
      <w:r w:rsidRPr="00E82FE8">
        <w:rPr>
          <w:szCs w:val="24"/>
          <w:shd w:val="clear" w:color="auto" w:fill="FFFFFF"/>
        </w:rPr>
        <w:t>Fundamentally, reverse veil-piercing, like traditional veil-piercing, is rooted in equity, and the court must consider all relevant factors, including those just noted, to reach an equitable result.”</w:t>
      </w:r>
      <w:r w:rsidRPr="00E82FE8">
        <w:rPr>
          <w:rStyle w:val="FootnoteReference"/>
          <w:szCs w:val="24"/>
          <w:shd w:val="clear" w:color="auto" w:fill="FFFFFF"/>
        </w:rPr>
        <w:footnoteReference w:id="76"/>
      </w:r>
    </w:p>
    <w:p w14:paraId="2185CA79" w14:textId="77777777" w:rsidR="00090872" w:rsidRDefault="0056242C" w:rsidP="00275AD4">
      <w:r w:rsidRPr="00E82FE8">
        <w:rPr>
          <w:szCs w:val="24"/>
          <w:shd w:val="clear" w:color="auto" w:fill="FFFFFF"/>
        </w:rPr>
        <w:t xml:space="preserve">The </w:t>
      </w:r>
      <w:r w:rsidRPr="00E82FE8">
        <w:rPr>
          <w:rStyle w:val="Strong"/>
          <w:b w:val="0"/>
          <w:bCs w:val="0"/>
          <w:i/>
          <w:iCs/>
          <w:spacing w:val="3"/>
          <w:szCs w:val="24"/>
          <w:shd w:val="clear" w:color="auto" w:fill="FFFFFF"/>
        </w:rPr>
        <w:t>Manichaean Capital</w:t>
      </w:r>
      <w:r w:rsidRPr="00E82FE8">
        <w:rPr>
          <w:szCs w:val="24"/>
          <w:shd w:val="clear" w:color="auto" w:fill="FFFFFF"/>
        </w:rPr>
        <w:t xml:space="preserve"> case is interesting in part because the court’s analysis and applied factors are very similar to a recent Oklahoma case, </w:t>
      </w:r>
      <w:bookmarkStart w:id="1" w:name="_Hlk58314222"/>
      <w:r w:rsidR="00275AD4" w:rsidRPr="00E82FE8">
        <w:rPr>
          <w:i/>
          <w:iCs/>
        </w:rPr>
        <w:t>The Mattingly Law Firm, P.C., v. Henson</w:t>
      </w:r>
      <w:bookmarkEnd w:id="1"/>
      <w:r w:rsidRPr="00E82FE8">
        <w:rPr>
          <w:i/>
          <w:iCs/>
        </w:rPr>
        <w:t>.</w:t>
      </w:r>
      <w:r w:rsidR="00275AD4" w:rsidRPr="00E82FE8">
        <w:rPr>
          <w:rStyle w:val="FootnoteReference"/>
        </w:rPr>
        <w:footnoteReference w:id="77"/>
      </w:r>
      <w:r w:rsidR="00275AD4" w:rsidRPr="00E82FE8">
        <w:t xml:space="preserve"> </w:t>
      </w:r>
      <w:r w:rsidRPr="00E82FE8">
        <w:t xml:space="preserve"> </w:t>
      </w:r>
      <w:r w:rsidRPr="00E82FE8">
        <w:rPr>
          <w:i/>
          <w:iCs/>
        </w:rPr>
        <w:t xml:space="preserve">Mattingly </w:t>
      </w:r>
      <w:r w:rsidRPr="00E82FE8">
        <w:t>was also a</w:t>
      </w:r>
      <w:r w:rsidR="00275AD4" w:rsidRPr="00E82FE8">
        <w:t xml:space="preserve"> case of first impression</w:t>
      </w:r>
      <w:r w:rsidR="00281EBE" w:rsidRPr="00E82FE8">
        <w:t xml:space="preserve">, both for piercing the veil of an LLC and </w:t>
      </w:r>
      <w:r w:rsidR="00B87B90" w:rsidRPr="00E82FE8">
        <w:t>for</w:t>
      </w:r>
      <w:r w:rsidR="00281EBE" w:rsidRPr="00E82FE8">
        <w:t xml:space="preserve"> allow</w:t>
      </w:r>
      <w:r w:rsidR="00B87B90" w:rsidRPr="00E82FE8">
        <w:t>ing</w:t>
      </w:r>
      <w:r w:rsidR="00281EBE" w:rsidRPr="00E82FE8">
        <w:t xml:space="preserve"> reverse piercing – to hold the LLC liable for the obligation of its member</w:t>
      </w:r>
      <w:r w:rsidR="00C22BF6" w:rsidRPr="00E82FE8">
        <w:t xml:space="preserve">.  The </w:t>
      </w:r>
      <w:r w:rsidR="00281EBE" w:rsidRPr="00E82FE8">
        <w:t xml:space="preserve">Oklahoma </w:t>
      </w:r>
      <w:r w:rsidR="00275AD4" w:rsidRPr="00E82FE8">
        <w:t xml:space="preserve">Court of Appeals </w:t>
      </w:r>
      <w:r w:rsidR="00281EBE" w:rsidRPr="00E82FE8">
        <w:t xml:space="preserve">held that reverse piercing begins with a traditional veil piercing analysis.  Then the court should </w:t>
      </w:r>
      <w:r w:rsidR="003A6B4F" w:rsidRPr="00E82FE8">
        <w:t>ask whether other remedies</w:t>
      </w:r>
      <w:r w:rsidR="003A6B4F" w:rsidRPr="00E82FE8">
        <w:rPr>
          <w:szCs w:val="24"/>
          <w:shd w:val="clear" w:color="auto" w:fill="FFFFFF"/>
        </w:rPr>
        <w:t xml:space="preserve">, such as fraudulent conveyance or conversion, would offer adequate protections.  It must also </w:t>
      </w:r>
      <w:r w:rsidR="00281EBE" w:rsidRPr="00E82FE8">
        <w:t xml:space="preserve">ensure that </w:t>
      </w:r>
      <w:r w:rsidR="00275AD4" w:rsidRPr="00E82FE8">
        <w:t>other innocent members of the LLC are not impacted</w:t>
      </w:r>
      <w:r w:rsidR="00281EBE" w:rsidRPr="00E82FE8">
        <w:t xml:space="preserve"> by the remedy</w:t>
      </w:r>
      <w:r w:rsidR="00275AD4" w:rsidRPr="00E82FE8">
        <w:t>.</w:t>
      </w:r>
    </w:p>
    <w:p w14:paraId="5B581E3D" w14:textId="77777777" w:rsidR="00090872" w:rsidRDefault="00275AD4" w:rsidP="004E593B">
      <w:pPr>
        <w:rPr>
          <w:szCs w:val="24"/>
        </w:rPr>
      </w:pPr>
      <w:r w:rsidRPr="00E82FE8">
        <w:rPr>
          <w:szCs w:val="24"/>
        </w:rPr>
        <w:t xml:space="preserve">The final Delaware case has a local connection.  </w:t>
      </w:r>
      <w:r w:rsidR="0004410F" w:rsidRPr="00E82FE8">
        <w:rPr>
          <w:szCs w:val="24"/>
        </w:rPr>
        <w:t xml:space="preserve">In </w:t>
      </w:r>
      <w:r w:rsidR="0004410F" w:rsidRPr="00E82FE8">
        <w:rPr>
          <w:i/>
          <w:iCs/>
          <w:szCs w:val="24"/>
        </w:rPr>
        <w:t>The Williams Companies Stockholder Litigation</w:t>
      </w:r>
      <w:r w:rsidR="0004410F" w:rsidRPr="00E82FE8">
        <w:rPr>
          <w:szCs w:val="24"/>
        </w:rPr>
        <w:t>,</w:t>
      </w:r>
      <w:r w:rsidR="00402E69" w:rsidRPr="00E82FE8">
        <w:rPr>
          <w:rStyle w:val="FootnoteReference"/>
          <w:szCs w:val="16"/>
        </w:rPr>
        <w:footnoteReference w:id="78"/>
      </w:r>
      <w:r w:rsidR="0004410F" w:rsidRPr="00E82FE8">
        <w:rPr>
          <w:szCs w:val="24"/>
        </w:rPr>
        <w:t xml:space="preserve"> the Delaware Chancery</w:t>
      </w:r>
      <w:r w:rsidR="00402E69" w:rsidRPr="00E82FE8">
        <w:rPr>
          <w:szCs w:val="24"/>
        </w:rPr>
        <w:t xml:space="preserve"> enjoined The Williams Companies, Inc. (“</w:t>
      </w:r>
      <w:r w:rsidR="00402E69" w:rsidRPr="00E82FE8">
        <w:rPr>
          <w:i/>
          <w:iCs/>
          <w:szCs w:val="24"/>
        </w:rPr>
        <w:t>Williams</w:t>
      </w:r>
      <w:r w:rsidR="00402E69" w:rsidRPr="00E82FE8">
        <w:rPr>
          <w:szCs w:val="24"/>
        </w:rPr>
        <w:t>”)</w:t>
      </w:r>
      <w:r w:rsidR="006E683C" w:rsidRPr="00E82FE8">
        <w:rPr>
          <w:szCs w:val="24"/>
        </w:rPr>
        <w:t>, a Tulsa</w:t>
      </w:r>
      <w:r w:rsidR="004A54AA" w:rsidRPr="00E82FE8">
        <w:rPr>
          <w:szCs w:val="24"/>
        </w:rPr>
        <w:t>-</w:t>
      </w:r>
      <w:r w:rsidR="006E683C" w:rsidRPr="00E82FE8">
        <w:rPr>
          <w:szCs w:val="24"/>
        </w:rPr>
        <w:t xml:space="preserve">based natural gas </w:t>
      </w:r>
      <w:r w:rsidR="00440F60" w:rsidRPr="00E82FE8">
        <w:rPr>
          <w:szCs w:val="24"/>
        </w:rPr>
        <w:t>processor and transporter</w:t>
      </w:r>
      <w:r w:rsidR="006E683C" w:rsidRPr="00E82FE8">
        <w:rPr>
          <w:szCs w:val="24"/>
        </w:rPr>
        <w:t>,</w:t>
      </w:r>
      <w:r w:rsidR="00402E69" w:rsidRPr="00E82FE8">
        <w:rPr>
          <w:szCs w:val="24"/>
        </w:rPr>
        <w:t xml:space="preserve"> from enforcing its stockholder rights plan, or so-called “poison pill” (the “</w:t>
      </w:r>
      <w:r w:rsidR="00402E69" w:rsidRPr="00E82FE8">
        <w:rPr>
          <w:i/>
          <w:iCs/>
          <w:szCs w:val="24"/>
        </w:rPr>
        <w:t>plan</w:t>
      </w:r>
      <w:r w:rsidR="00402E69" w:rsidRPr="00E82FE8">
        <w:rPr>
          <w:szCs w:val="24"/>
        </w:rPr>
        <w:t xml:space="preserve">”).  The plan </w:t>
      </w:r>
      <w:r w:rsidR="003B5C60" w:rsidRPr="00E82FE8">
        <w:rPr>
          <w:szCs w:val="24"/>
        </w:rPr>
        <w:t>was</w:t>
      </w:r>
      <w:r w:rsidR="00402E69" w:rsidRPr="00E82FE8">
        <w:rPr>
          <w:szCs w:val="24"/>
        </w:rPr>
        <w:t xml:space="preserve"> a</w:t>
      </w:r>
      <w:r w:rsidR="00440F60" w:rsidRPr="00E82FE8">
        <w:rPr>
          <w:szCs w:val="24"/>
        </w:rPr>
        <w:t>n</w:t>
      </w:r>
      <w:r w:rsidR="00402E69" w:rsidRPr="00E82FE8">
        <w:rPr>
          <w:szCs w:val="24"/>
        </w:rPr>
        <w:t xml:space="preserve"> </w:t>
      </w:r>
      <w:r w:rsidR="006E683C" w:rsidRPr="00E82FE8">
        <w:rPr>
          <w:szCs w:val="24"/>
        </w:rPr>
        <w:t xml:space="preserve">anti-takeover </w:t>
      </w:r>
      <w:r w:rsidR="00402E69" w:rsidRPr="00E82FE8">
        <w:rPr>
          <w:szCs w:val="24"/>
        </w:rPr>
        <w:t xml:space="preserve">device that </w:t>
      </w:r>
      <w:r w:rsidR="003B5C60" w:rsidRPr="00E82FE8">
        <w:rPr>
          <w:szCs w:val="24"/>
        </w:rPr>
        <w:t xml:space="preserve">would </w:t>
      </w:r>
      <w:r w:rsidR="004A54AA" w:rsidRPr="00E82FE8">
        <w:rPr>
          <w:szCs w:val="24"/>
        </w:rPr>
        <w:t xml:space="preserve">allow existing shareholders a right </w:t>
      </w:r>
      <w:r w:rsidR="00440F60" w:rsidRPr="00E82FE8">
        <w:rPr>
          <w:szCs w:val="24"/>
        </w:rPr>
        <w:t>to</w:t>
      </w:r>
      <w:r w:rsidR="004A54AA" w:rsidRPr="00E82FE8">
        <w:rPr>
          <w:szCs w:val="24"/>
        </w:rPr>
        <w:t xml:space="preserve"> purchase additional shares at a deep discount</w:t>
      </w:r>
      <w:r w:rsidR="003B5C60" w:rsidRPr="00E82FE8">
        <w:rPr>
          <w:szCs w:val="24"/>
        </w:rPr>
        <w:t xml:space="preserve"> if a hostile acquirer appeared.  </w:t>
      </w:r>
      <w:r w:rsidR="00C66CC4" w:rsidRPr="00E82FE8">
        <w:rPr>
          <w:szCs w:val="24"/>
        </w:rPr>
        <w:t xml:space="preserve">The discounted shares would </w:t>
      </w:r>
      <w:r w:rsidR="00440F60" w:rsidRPr="00E82FE8">
        <w:rPr>
          <w:szCs w:val="24"/>
        </w:rPr>
        <w:t xml:space="preserve">dilute the </w:t>
      </w:r>
      <w:r w:rsidR="00C66CC4" w:rsidRPr="00E82FE8">
        <w:rPr>
          <w:szCs w:val="24"/>
        </w:rPr>
        <w:t xml:space="preserve">hostile acquirer’s </w:t>
      </w:r>
      <w:r w:rsidR="00440F60" w:rsidRPr="00E82FE8">
        <w:rPr>
          <w:szCs w:val="24"/>
        </w:rPr>
        <w:t xml:space="preserve">ownership </w:t>
      </w:r>
      <w:r w:rsidR="00C66CC4" w:rsidRPr="00E82FE8">
        <w:rPr>
          <w:szCs w:val="24"/>
        </w:rPr>
        <w:t>and thus discourage a takeover</w:t>
      </w:r>
      <w:r w:rsidR="00440F60" w:rsidRPr="00E82FE8">
        <w:rPr>
          <w:szCs w:val="24"/>
        </w:rPr>
        <w:t>.</w:t>
      </w:r>
      <w:r w:rsidR="00402E69" w:rsidRPr="00E82FE8">
        <w:rPr>
          <w:szCs w:val="24"/>
        </w:rPr>
        <w:t xml:space="preserve">  Williams adopted the plan in 2020 after precipitous decline</w:t>
      </w:r>
      <w:r w:rsidR="00440F60" w:rsidRPr="00E82FE8">
        <w:rPr>
          <w:szCs w:val="24"/>
        </w:rPr>
        <w:t>s</w:t>
      </w:r>
      <w:r w:rsidR="00402E69" w:rsidRPr="00E82FE8">
        <w:rPr>
          <w:szCs w:val="24"/>
        </w:rPr>
        <w:t xml:space="preserve"> in </w:t>
      </w:r>
      <w:r w:rsidR="006E683C" w:rsidRPr="00E82FE8">
        <w:rPr>
          <w:szCs w:val="24"/>
        </w:rPr>
        <w:t xml:space="preserve">natural gas prices and </w:t>
      </w:r>
      <w:r w:rsidR="00402E69" w:rsidRPr="00E82FE8">
        <w:rPr>
          <w:szCs w:val="24"/>
        </w:rPr>
        <w:t xml:space="preserve">its </w:t>
      </w:r>
      <w:r w:rsidR="006E683C" w:rsidRPr="00E82FE8">
        <w:rPr>
          <w:szCs w:val="24"/>
        </w:rPr>
        <w:t>stock price, which the board believed made Williams susceptible to a possible hostile takeover.</w:t>
      </w:r>
    </w:p>
    <w:p w14:paraId="60E52536" w14:textId="77777777" w:rsidR="00090872" w:rsidRDefault="00C66CC4" w:rsidP="004E593B">
      <w:pPr>
        <w:rPr>
          <w:szCs w:val="24"/>
        </w:rPr>
      </w:pPr>
      <w:r w:rsidRPr="00E82FE8">
        <w:rPr>
          <w:szCs w:val="24"/>
        </w:rPr>
        <w:t xml:space="preserve">Some shareholders contested the plan derivatively, and the </w:t>
      </w:r>
      <w:r w:rsidR="00C8584D" w:rsidRPr="00E82FE8">
        <w:rPr>
          <w:szCs w:val="24"/>
        </w:rPr>
        <w:t xml:space="preserve">court considered two issues.  First was the appropriate standard for reviewing the plan’s validity.  </w:t>
      </w:r>
      <w:r w:rsidR="00977378" w:rsidRPr="00E82FE8">
        <w:rPr>
          <w:szCs w:val="24"/>
        </w:rPr>
        <w:t>T</w:t>
      </w:r>
      <w:r w:rsidR="0016065E" w:rsidRPr="00E82FE8">
        <w:rPr>
          <w:szCs w:val="24"/>
        </w:rPr>
        <w:t xml:space="preserve">he defendant board argued that </w:t>
      </w:r>
      <w:r w:rsidR="00C8584D" w:rsidRPr="00E82FE8">
        <w:rPr>
          <w:szCs w:val="24"/>
        </w:rPr>
        <w:t>the business judgment rule</w:t>
      </w:r>
      <w:r w:rsidR="0016065E" w:rsidRPr="00E82FE8">
        <w:rPr>
          <w:szCs w:val="24"/>
        </w:rPr>
        <w:t xml:space="preserve"> should </w:t>
      </w:r>
      <w:r w:rsidR="00C8584D" w:rsidRPr="00E82FE8">
        <w:rPr>
          <w:szCs w:val="24"/>
        </w:rPr>
        <w:t>appl</w:t>
      </w:r>
      <w:r w:rsidR="0016065E" w:rsidRPr="00E82FE8">
        <w:rPr>
          <w:szCs w:val="24"/>
        </w:rPr>
        <w:t xml:space="preserve">y and with it a presumption that </w:t>
      </w:r>
      <w:r w:rsidR="00C8584D" w:rsidRPr="00E82FE8">
        <w:rPr>
          <w:szCs w:val="24"/>
        </w:rPr>
        <w:t xml:space="preserve">the board’s decision </w:t>
      </w:r>
      <w:r w:rsidRPr="00E82FE8">
        <w:rPr>
          <w:szCs w:val="24"/>
        </w:rPr>
        <w:t>was</w:t>
      </w:r>
      <w:r w:rsidR="0016065E" w:rsidRPr="00E82FE8">
        <w:rPr>
          <w:szCs w:val="24"/>
        </w:rPr>
        <w:t xml:space="preserve"> </w:t>
      </w:r>
      <w:r w:rsidR="00C8584D" w:rsidRPr="00E82FE8">
        <w:rPr>
          <w:szCs w:val="24"/>
        </w:rPr>
        <w:t>valid</w:t>
      </w:r>
      <w:r w:rsidRPr="00E82FE8">
        <w:rPr>
          <w:szCs w:val="24"/>
        </w:rPr>
        <w:t>.  The court</w:t>
      </w:r>
      <w:r w:rsidR="009A711F" w:rsidRPr="00E82FE8">
        <w:rPr>
          <w:szCs w:val="24"/>
        </w:rPr>
        <w:t xml:space="preserve"> held</w:t>
      </w:r>
      <w:r w:rsidRPr="00E82FE8">
        <w:rPr>
          <w:szCs w:val="24"/>
        </w:rPr>
        <w:t>, however,</w:t>
      </w:r>
      <w:r w:rsidR="009A711F" w:rsidRPr="00E82FE8">
        <w:rPr>
          <w:szCs w:val="24"/>
        </w:rPr>
        <w:t xml:space="preserve"> that </w:t>
      </w:r>
      <w:r w:rsidR="0016065E" w:rsidRPr="00E82FE8">
        <w:rPr>
          <w:szCs w:val="24"/>
        </w:rPr>
        <w:t xml:space="preserve">the law is well-settled that </w:t>
      </w:r>
      <w:r w:rsidR="009A711F" w:rsidRPr="00E82FE8">
        <w:rPr>
          <w:szCs w:val="24"/>
        </w:rPr>
        <w:t xml:space="preserve">poison pill challenges must be scrutinized under the </w:t>
      </w:r>
      <w:r w:rsidR="0016065E" w:rsidRPr="00E82FE8">
        <w:rPr>
          <w:szCs w:val="24"/>
        </w:rPr>
        <w:t xml:space="preserve">higher </w:t>
      </w:r>
      <w:r w:rsidR="009A711F" w:rsidRPr="00E82FE8">
        <w:rPr>
          <w:i/>
          <w:iCs/>
          <w:szCs w:val="24"/>
        </w:rPr>
        <w:t xml:space="preserve">Unocal </w:t>
      </w:r>
      <w:r w:rsidR="009A711F" w:rsidRPr="00E82FE8">
        <w:rPr>
          <w:szCs w:val="24"/>
        </w:rPr>
        <w:t>standard.</w:t>
      </w:r>
      <w:r w:rsidR="009F177C" w:rsidRPr="00E82FE8">
        <w:rPr>
          <w:rStyle w:val="FootnoteReference"/>
          <w:szCs w:val="24"/>
        </w:rPr>
        <w:footnoteReference w:id="79"/>
      </w:r>
      <w:r w:rsidR="009A711F" w:rsidRPr="00E82FE8">
        <w:rPr>
          <w:szCs w:val="24"/>
        </w:rPr>
        <w:t xml:space="preserve">  </w:t>
      </w:r>
      <w:r w:rsidR="0016065E" w:rsidRPr="00E82FE8">
        <w:rPr>
          <w:szCs w:val="24"/>
        </w:rPr>
        <w:t xml:space="preserve">Under </w:t>
      </w:r>
      <w:r w:rsidR="0016065E" w:rsidRPr="00E82FE8">
        <w:rPr>
          <w:i/>
          <w:iCs/>
          <w:szCs w:val="24"/>
        </w:rPr>
        <w:t>Unocal</w:t>
      </w:r>
      <w:r w:rsidR="0016065E" w:rsidRPr="00E82FE8">
        <w:rPr>
          <w:szCs w:val="24"/>
        </w:rPr>
        <w:t xml:space="preserve">, the board must first </w:t>
      </w:r>
      <w:r w:rsidR="0016065E" w:rsidRPr="00E82FE8">
        <w:rPr>
          <w:szCs w:val="24"/>
          <w:shd w:val="clear" w:color="auto" w:fill="FFFFFF"/>
        </w:rPr>
        <w:t xml:space="preserve">show that it had reasonable grounds for concluding that a threat to the corporate enterprise existed. </w:t>
      </w:r>
      <w:r w:rsidR="0016065E" w:rsidRPr="00E82FE8">
        <w:rPr>
          <w:szCs w:val="24"/>
        </w:rPr>
        <w:t xml:space="preserve"> </w:t>
      </w:r>
      <w:r w:rsidR="00E932F3" w:rsidRPr="00E82FE8">
        <w:rPr>
          <w:szCs w:val="24"/>
        </w:rPr>
        <w:t xml:space="preserve">The court found that the </w:t>
      </w:r>
      <w:r w:rsidR="003B5C60" w:rsidRPr="00E82FE8">
        <w:rPr>
          <w:szCs w:val="24"/>
        </w:rPr>
        <w:t>plan</w:t>
      </w:r>
      <w:r w:rsidR="00E932F3" w:rsidRPr="00E82FE8">
        <w:rPr>
          <w:szCs w:val="24"/>
        </w:rPr>
        <w:t xml:space="preserve"> was enacted after good faith and reasonable investigation, but concluded that the threats where hypothetical and general concerns about shareholder activism were not sufficient justification for </w:t>
      </w:r>
      <w:r w:rsidR="003B5C60" w:rsidRPr="00E82FE8">
        <w:rPr>
          <w:szCs w:val="24"/>
        </w:rPr>
        <w:t>plan</w:t>
      </w:r>
      <w:r w:rsidR="00E932F3" w:rsidRPr="00E82FE8">
        <w:rPr>
          <w:szCs w:val="24"/>
        </w:rPr>
        <w:t>’s adoption.</w:t>
      </w:r>
    </w:p>
    <w:p w14:paraId="22D413D9" w14:textId="5E8CF6CE" w:rsidR="00A1507A" w:rsidRPr="00E82FE8" w:rsidRDefault="00E932F3" w:rsidP="004E593B">
      <w:pPr>
        <w:rPr>
          <w:szCs w:val="24"/>
          <w:shd w:val="clear" w:color="auto" w:fill="FFFFFF"/>
        </w:rPr>
      </w:pPr>
      <w:r w:rsidRPr="00E82FE8">
        <w:rPr>
          <w:szCs w:val="24"/>
          <w:shd w:val="clear" w:color="auto" w:fill="FFFFFF"/>
        </w:rPr>
        <w:t xml:space="preserve">The </w:t>
      </w:r>
      <w:r w:rsidR="00A1507A" w:rsidRPr="00E82FE8">
        <w:rPr>
          <w:szCs w:val="24"/>
          <w:shd w:val="clear" w:color="auto" w:fill="FFFFFF"/>
        </w:rPr>
        <w:t>second p</w:t>
      </w:r>
      <w:r w:rsidR="009F177C" w:rsidRPr="00E82FE8">
        <w:rPr>
          <w:szCs w:val="24"/>
          <w:shd w:val="clear" w:color="auto" w:fill="FFFFFF"/>
        </w:rPr>
        <w:t>rong</w:t>
      </w:r>
      <w:r w:rsidR="00A1507A" w:rsidRPr="00E82FE8">
        <w:rPr>
          <w:szCs w:val="24"/>
          <w:shd w:val="clear" w:color="auto" w:fill="FFFFFF"/>
        </w:rPr>
        <w:t xml:space="preserve"> of</w:t>
      </w:r>
      <w:r w:rsidR="009F177C" w:rsidRPr="00E82FE8">
        <w:rPr>
          <w:szCs w:val="24"/>
          <w:shd w:val="clear" w:color="auto" w:fill="FFFFFF"/>
        </w:rPr>
        <w:t xml:space="preserve"> </w:t>
      </w:r>
      <w:r w:rsidR="00A1507A" w:rsidRPr="00E82FE8">
        <w:rPr>
          <w:i/>
          <w:iCs/>
          <w:szCs w:val="24"/>
          <w:shd w:val="clear" w:color="auto" w:fill="FFFFFF"/>
        </w:rPr>
        <w:t>Unocal</w:t>
      </w:r>
      <w:r w:rsidR="009F177C" w:rsidRPr="00E82FE8">
        <w:rPr>
          <w:i/>
          <w:iCs/>
          <w:szCs w:val="24"/>
          <w:shd w:val="clear" w:color="auto" w:fill="FFFFFF"/>
        </w:rPr>
        <w:t xml:space="preserve"> </w:t>
      </w:r>
      <w:r w:rsidR="00A1507A" w:rsidRPr="00E82FE8">
        <w:rPr>
          <w:szCs w:val="24"/>
          <w:shd w:val="clear" w:color="auto" w:fill="FFFFFF"/>
        </w:rPr>
        <w:t xml:space="preserve">requires a board to show that the defensive measures were </w:t>
      </w:r>
      <w:r w:rsidR="009F177C" w:rsidRPr="00E82FE8">
        <w:rPr>
          <w:szCs w:val="24"/>
          <w:shd w:val="clear" w:color="auto" w:fill="FFFFFF"/>
        </w:rPr>
        <w:t>“</w:t>
      </w:r>
      <w:r w:rsidR="00A1507A" w:rsidRPr="00E82FE8">
        <w:rPr>
          <w:szCs w:val="24"/>
          <w:shd w:val="clear" w:color="auto" w:fill="FFFFFF"/>
        </w:rPr>
        <w:t>reasonable in relation to the threat posed</w:t>
      </w:r>
      <w:r w:rsidR="009F177C" w:rsidRPr="00E82FE8">
        <w:rPr>
          <w:szCs w:val="24"/>
          <w:shd w:val="clear" w:color="auto" w:fill="FFFFFF"/>
        </w:rPr>
        <w:t>.</w:t>
      </w:r>
      <w:r w:rsidRPr="00E82FE8">
        <w:rPr>
          <w:szCs w:val="24"/>
          <w:shd w:val="clear" w:color="auto" w:fill="FFFFFF"/>
        </w:rPr>
        <w:t xml:space="preserve">”  </w:t>
      </w:r>
      <w:r w:rsidR="008201A1" w:rsidRPr="00E82FE8">
        <w:rPr>
          <w:szCs w:val="24"/>
          <w:shd w:val="clear" w:color="auto" w:fill="FFFFFF"/>
        </w:rPr>
        <w:t>Here the court did not hesitate.  I</w:t>
      </w:r>
      <w:r w:rsidR="009F177C" w:rsidRPr="00E82FE8">
        <w:rPr>
          <w:szCs w:val="24"/>
          <w:shd w:val="clear" w:color="auto" w:fill="FFFFFF"/>
        </w:rPr>
        <w:t>t</w:t>
      </w:r>
      <w:r w:rsidR="008201A1" w:rsidRPr="00E82FE8">
        <w:rPr>
          <w:szCs w:val="24"/>
          <w:shd w:val="clear" w:color="auto" w:fill="FFFFFF"/>
        </w:rPr>
        <w:t xml:space="preserve"> found the </w:t>
      </w:r>
      <w:r w:rsidR="003B5C60" w:rsidRPr="00E82FE8">
        <w:rPr>
          <w:szCs w:val="24"/>
          <w:shd w:val="clear" w:color="auto" w:fill="FFFFFF"/>
        </w:rPr>
        <w:t>plan</w:t>
      </w:r>
      <w:r w:rsidR="008201A1" w:rsidRPr="00E82FE8">
        <w:rPr>
          <w:szCs w:val="24"/>
          <w:shd w:val="clear" w:color="auto" w:fill="FFFFFF"/>
        </w:rPr>
        <w:t xml:space="preserve"> was </w:t>
      </w:r>
      <w:r w:rsidR="00D4553B" w:rsidRPr="00E82FE8">
        <w:rPr>
          <w:szCs w:val="24"/>
          <w:shd w:val="clear" w:color="auto" w:fill="FFFFFF"/>
        </w:rPr>
        <w:t xml:space="preserve">overly </w:t>
      </w:r>
      <w:r w:rsidR="008201A1" w:rsidRPr="00E82FE8">
        <w:rPr>
          <w:szCs w:val="24"/>
          <w:shd w:val="clear" w:color="auto" w:fill="FFFFFF"/>
        </w:rPr>
        <w:t xml:space="preserve">aggressive.  For example, </w:t>
      </w:r>
      <w:r w:rsidR="00D4553B" w:rsidRPr="00E82FE8">
        <w:rPr>
          <w:szCs w:val="24"/>
          <w:shd w:val="clear" w:color="auto" w:fill="FFFFFF"/>
        </w:rPr>
        <w:t xml:space="preserve">the plan was triggered when an acquirer acquired only </w:t>
      </w:r>
      <w:r w:rsidR="008201A1" w:rsidRPr="00E82FE8">
        <w:rPr>
          <w:szCs w:val="24"/>
          <w:shd w:val="clear" w:color="auto" w:fill="FFFFFF"/>
        </w:rPr>
        <w:t xml:space="preserve">5% </w:t>
      </w:r>
      <w:r w:rsidR="00D4553B" w:rsidRPr="00E82FE8">
        <w:rPr>
          <w:szCs w:val="24"/>
          <w:shd w:val="clear" w:color="auto" w:fill="FFFFFF"/>
        </w:rPr>
        <w:t xml:space="preserve">or more of the shares.  The board’s financial advisor had compared the plan to other poison pill plans and said </w:t>
      </w:r>
      <w:r w:rsidR="008201A1" w:rsidRPr="00E82FE8">
        <w:rPr>
          <w:szCs w:val="24"/>
          <w:shd w:val="clear" w:color="auto" w:fill="FFFFFF"/>
        </w:rPr>
        <w:t xml:space="preserve">that the trigger was an outlier among plans generally.  The court cited other </w:t>
      </w:r>
      <w:r w:rsidR="00280BC3" w:rsidRPr="00E82FE8">
        <w:rPr>
          <w:szCs w:val="24"/>
          <w:shd w:val="clear" w:color="auto" w:fill="FFFFFF"/>
        </w:rPr>
        <w:t xml:space="preserve">plan </w:t>
      </w:r>
      <w:r w:rsidR="008201A1" w:rsidRPr="00E82FE8">
        <w:rPr>
          <w:szCs w:val="24"/>
          <w:shd w:val="clear" w:color="auto" w:fill="FFFFFF"/>
        </w:rPr>
        <w:t>features that it called “extreme”.  In c</w:t>
      </w:r>
      <w:r w:rsidR="003814AB" w:rsidRPr="00E82FE8">
        <w:rPr>
          <w:szCs w:val="24"/>
          <w:shd w:val="clear" w:color="auto" w:fill="FFFFFF"/>
        </w:rPr>
        <w:t xml:space="preserve">oncluding, the court found that the </w:t>
      </w:r>
      <w:r w:rsidR="003B5C60" w:rsidRPr="00E82FE8">
        <w:rPr>
          <w:szCs w:val="24"/>
          <w:shd w:val="clear" w:color="auto" w:fill="FFFFFF"/>
        </w:rPr>
        <w:t>plan</w:t>
      </w:r>
      <w:r w:rsidR="003814AB" w:rsidRPr="00E82FE8">
        <w:rPr>
          <w:szCs w:val="24"/>
          <w:shd w:val="clear" w:color="auto" w:fill="FFFFFF"/>
        </w:rPr>
        <w:t xml:space="preserve"> was beyond the range of reasonable </w:t>
      </w:r>
      <w:r w:rsidR="00D4553B" w:rsidRPr="00E82FE8">
        <w:rPr>
          <w:szCs w:val="24"/>
          <w:shd w:val="clear" w:color="auto" w:fill="FFFFFF"/>
        </w:rPr>
        <w:t xml:space="preserve">responses.  It </w:t>
      </w:r>
      <w:r w:rsidR="003814AB" w:rsidRPr="00E82FE8">
        <w:rPr>
          <w:szCs w:val="24"/>
          <w:shd w:val="clear" w:color="auto" w:fill="FFFFFF"/>
        </w:rPr>
        <w:t xml:space="preserve">held that the directors breached their </w:t>
      </w:r>
      <w:r w:rsidR="00D4553B" w:rsidRPr="00E82FE8">
        <w:rPr>
          <w:szCs w:val="24"/>
          <w:shd w:val="clear" w:color="auto" w:fill="FFFFFF"/>
        </w:rPr>
        <w:t>fiduciary</w:t>
      </w:r>
      <w:r w:rsidR="003814AB" w:rsidRPr="00E82FE8">
        <w:rPr>
          <w:szCs w:val="24"/>
          <w:shd w:val="clear" w:color="auto" w:fill="FFFFFF"/>
        </w:rPr>
        <w:t xml:space="preserve"> duties in adopting the </w:t>
      </w:r>
      <w:r w:rsidR="003B5C60" w:rsidRPr="00E82FE8">
        <w:rPr>
          <w:szCs w:val="24"/>
          <w:shd w:val="clear" w:color="auto" w:fill="FFFFFF"/>
        </w:rPr>
        <w:t>plan</w:t>
      </w:r>
      <w:r w:rsidR="003814AB" w:rsidRPr="00E82FE8">
        <w:rPr>
          <w:szCs w:val="24"/>
          <w:shd w:val="clear" w:color="auto" w:fill="FFFFFF"/>
        </w:rPr>
        <w:t xml:space="preserve"> and </w:t>
      </w:r>
      <w:r w:rsidR="00D4553B" w:rsidRPr="00E82FE8">
        <w:rPr>
          <w:szCs w:val="24"/>
          <w:shd w:val="clear" w:color="auto" w:fill="FFFFFF"/>
        </w:rPr>
        <w:t xml:space="preserve">the court </w:t>
      </w:r>
      <w:r w:rsidR="003814AB" w:rsidRPr="00E82FE8">
        <w:rPr>
          <w:szCs w:val="24"/>
          <w:shd w:val="clear" w:color="auto" w:fill="FFFFFF"/>
        </w:rPr>
        <w:t xml:space="preserve">invalidated it. </w:t>
      </w:r>
    </w:p>
    <w:p w14:paraId="769D3941" w14:textId="7261D6D2" w:rsidR="00331B18" w:rsidRPr="00E82FE8" w:rsidRDefault="00331B18" w:rsidP="00A6041D">
      <w:pPr>
        <w:pStyle w:val="Heading3"/>
        <w:rPr>
          <w:rFonts w:eastAsia="Times New Roman"/>
        </w:rPr>
      </w:pPr>
      <w:r w:rsidRPr="00E82FE8">
        <w:rPr>
          <w:rFonts w:eastAsia="Times New Roman"/>
        </w:rPr>
        <w:t>Conclusion</w:t>
      </w:r>
    </w:p>
    <w:p w14:paraId="68E0527E" w14:textId="77777777" w:rsidR="00090872" w:rsidRDefault="00421023" w:rsidP="00331B18">
      <w:pPr>
        <w:overflowPunct w:val="0"/>
        <w:textAlignment w:val="baseline"/>
        <w:rPr>
          <w:rFonts w:eastAsia="Times New Roman"/>
        </w:rPr>
      </w:pPr>
      <w:r w:rsidRPr="00E82FE8">
        <w:rPr>
          <w:rFonts w:eastAsia="Times New Roman"/>
        </w:rPr>
        <w:t xml:space="preserve">This paper’s premise is that our business entities </w:t>
      </w:r>
      <w:r w:rsidR="008B422B" w:rsidRPr="00E82FE8">
        <w:rPr>
          <w:rFonts w:eastAsia="Times New Roman"/>
        </w:rPr>
        <w:t xml:space="preserve">are trending </w:t>
      </w:r>
      <w:r w:rsidRPr="00E82FE8">
        <w:rPr>
          <w:rFonts w:eastAsia="Times New Roman"/>
        </w:rPr>
        <w:t xml:space="preserve">toward </w:t>
      </w:r>
      <w:r w:rsidR="004D1F8D" w:rsidRPr="00E82FE8">
        <w:rPr>
          <w:rFonts w:eastAsia="Times New Roman"/>
        </w:rPr>
        <w:t xml:space="preserve">greater </w:t>
      </w:r>
      <w:r w:rsidR="000B5FC2" w:rsidRPr="00E82FE8">
        <w:rPr>
          <w:shd w:val="clear" w:color="auto" w:fill="FFFFFF"/>
        </w:rPr>
        <w:t>corporate social responsibility</w:t>
      </w:r>
      <w:r w:rsidR="004D1F8D" w:rsidRPr="00E82FE8">
        <w:rPr>
          <w:rFonts w:eastAsia="Times New Roman"/>
        </w:rPr>
        <w:t xml:space="preserve">.  The trend is long-standing.  It is evidenced </w:t>
      </w:r>
      <w:r w:rsidR="00977378" w:rsidRPr="00E82FE8">
        <w:rPr>
          <w:rFonts w:eastAsia="Times New Roman"/>
        </w:rPr>
        <w:t>in</w:t>
      </w:r>
      <w:r w:rsidR="004D1F8D" w:rsidRPr="00E82FE8">
        <w:rPr>
          <w:rFonts w:eastAsia="Times New Roman"/>
        </w:rPr>
        <w:t xml:space="preserve"> </w:t>
      </w:r>
      <w:r w:rsidR="008B422B" w:rsidRPr="00E82FE8">
        <w:rPr>
          <w:rFonts w:eastAsia="Times New Roman"/>
        </w:rPr>
        <w:t xml:space="preserve">Federal and state laws, </w:t>
      </w:r>
      <w:r w:rsidR="00AC7561" w:rsidRPr="00E82FE8">
        <w:rPr>
          <w:rFonts w:eastAsia="Times New Roman"/>
        </w:rPr>
        <w:t xml:space="preserve">by judicial decisions and, perhaps most importantly, </w:t>
      </w:r>
      <w:r w:rsidR="00977378" w:rsidRPr="00E82FE8">
        <w:rPr>
          <w:rFonts w:eastAsia="Times New Roman"/>
        </w:rPr>
        <w:t xml:space="preserve">in </w:t>
      </w:r>
      <w:r w:rsidR="00AC7561" w:rsidRPr="00E82FE8">
        <w:rPr>
          <w:rFonts w:eastAsia="Times New Roman"/>
        </w:rPr>
        <w:t>the marketplace</w:t>
      </w:r>
      <w:r w:rsidR="004D1F8D" w:rsidRPr="00E82FE8">
        <w:rPr>
          <w:rFonts w:eastAsia="Times New Roman"/>
        </w:rPr>
        <w:t xml:space="preserve">.  </w:t>
      </w:r>
      <w:r w:rsidR="00AC7561" w:rsidRPr="00E82FE8">
        <w:rPr>
          <w:rFonts w:eastAsia="Times New Roman"/>
        </w:rPr>
        <w:t xml:space="preserve">And the </w:t>
      </w:r>
      <w:r w:rsidR="004D1F8D" w:rsidRPr="00E82FE8">
        <w:rPr>
          <w:rFonts w:eastAsia="Times New Roman"/>
        </w:rPr>
        <w:t>trend is accelerating.</w:t>
      </w:r>
    </w:p>
    <w:p w14:paraId="40FA9CCF" w14:textId="51D1636E" w:rsidR="004D1F8D" w:rsidRPr="00E82FE8" w:rsidRDefault="00C17319" w:rsidP="00331B18">
      <w:pPr>
        <w:overflowPunct w:val="0"/>
        <w:textAlignment w:val="baseline"/>
        <w:rPr>
          <w:rFonts w:eastAsia="Times New Roman"/>
        </w:rPr>
      </w:pPr>
      <w:r w:rsidRPr="00E82FE8">
        <w:rPr>
          <w:rFonts w:eastAsia="Times New Roman"/>
        </w:rPr>
        <w:t xml:space="preserve">As lawyers, we are uniquely positioned to guide our business clients and to encourage greater </w:t>
      </w:r>
      <w:r w:rsidRPr="00E82FE8">
        <w:rPr>
          <w:shd w:val="clear" w:color="auto" w:fill="FFFFFF"/>
        </w:rPr>
        <w:t>corporate social responsibility</w:t>
      </w:r>
      <w:r w:rsidRPr="00E82FE8">
        <w:t xml:space="preserve">.  </w:t>
      </w:r>
      <w:r w:rsidR="00033B6F" w:rsidRPr="00E82FE8">
        <w:t xml:space="preserve">With our guidance, more </w:t>
      </w:r>
      <w:r w:rsidR="004D1F8D" w:rsidRPr="00E82FE8">
        <w:rPr>
          <w:rFonts w:eastAsia="Times New Roman"/>
        </w:rPr>
        <w:t>business</w:t>
      </w:r>
      <w:r w:rsidR="008B422B" w:rsidRPr="00E82FE8">
        <w:rPr>
          <w:rFonts w:eastAsia="Times New Roman"/>
        </w:rPr>
        <w:t xml:space="preserve">es might </w:t>
      </w:r>
      <w:r w:rsidR="004D1F8D" w:rsidRPr="00E82FE8">
        <w:rPr>
          <w:rFonts w:eastAsia="Times New Roman"/>
        </w:rPr>
        <w:t xml:space="preserve">adopt a </w:t>
      </w:r>
      <w:r w:rsidR="00AC7561" w:rsidRPr="00E82FE8">
        <w:rPr>
          <w:rFonts w:eastAsia="Times New Roman"/>
        </w:rPr>
        <w:t xml:space="preserve">expanded </w:t>
      </w:r>
      <w:r w:rsidR="004D1F8D" w:rsidRPr="00E82FE8">
        <w:rPr>
          <w:rFonts w:eastAsia="Times New Roman"/>
        </w:rPr>
        <w:t xml:space="preserve">role in improving the lives of their employees, their customers and </w:t>
      </w:r>
      <w:r w:rsidR="000B5FC2" w:rsidRPr="00E82FE8">
        <w:rPr>
          <w:rFonts w:eastAsia="Times New Roman"/>
        </w:rPr>
        <w:t xml:space="preserve">people within their </w:t>
      </w:r>
      <w:r w:rsidR="004D1F8D" w:rsidRPr="00E82FE8">
        <w:rPr>
          <w:rFonts w:eastAsia="Times New Roman"/>
        </w:rPr>
        <w:t>communities</w:t>
      </w:r>
      <w:r w:rsidR="000B5FC2" w:rsidRPr="00E82FE8">
        <w:rPr>
          <w:rFonts w:eastAsia="Times New Roman"/>
        </w:rPr>
        <w:t xml:space="preserve">, if </w:t>
      </w:r>
      <w:r w:rsidR="004D1F8D" w:rsidRPr="00E82FE8">
        <w:rPr>
          <w:rFonts w:eastAsia="Times New Roman"/>
        </w:rPr>
        <w:t xml:space="preserve">not the </w:t>
      </w:r>
      <w:r w:rsidR="00B12933" w:rsidRPr="00E82FE8">
        <w:rPr>
          <w:rFonts w:eastAsia="Times New Roman"/>
        </w:rPr>
        <w:t xml:space="preserve">nation and the </w:t>
      </w:r>
      <w:r w:rsidR="004D1F8D" w:rsidRPr="00E82FE8">
        <w:rPr>
          <w:rFonts w:eastAsia="Times New Roman"/>
        </w:rPr>
        <w:t xml:space="preserve">world.  </w:t>
      </w:r>
      <w:r w:rsidR="008B422B" w:rsidRPr="00E82FE8">
        <w:rPr>
          <w:rFonts w:eastAsia="Times New Roman"/>
        </w:rPr>
        <w:t>B</w:t>
      </w:r>
      <w:r w:rsidR="00B12933" w:rsidRPr="00E82FE8">
        <w:rPr>
          <w:rFonts w:eastAsia="Times New Roman"/>
        </w:rPr>
        <w:t xml:space="preserve">usiness </w:t>
      </w:r>
      <w:r w:rsidR="00D10D0A" w:rsidRPr="00E82FE8">
        <w:rPr>
          <w:rFonts w:eastAsia="Times New Roman"/>
        </w:rPr>
        <w:t xml:space="preserve">owners will, in the long-term, benefit from </w:t>
      </w:r>
      <w:r w:rsidR="00B12933" w:rsidRPr="00E82FE8">
        <w:rPr>
          <w:rFonts w:eastAsia="Times New Roman"/>
        </w:rPr>
        <w:t>building better relationships</w:t>
      </w:r>
      <w:r w:rsidR="00D10D0A" w:rsidRPr="00E82FE8">
        <w:rPr>
          <w:rFonts w:eastAsia="Times New Roman"/>
        </w:rPr>
        <w:t xml:space="preserve">. </w:t>
      </w:r>
    </w:p>
    <w:p w14:paraId="08AA7762" w14:textId="79206CB3" w:rsidR="00331B18" w:rsidRPr="00E82FE8" w:rsidRDefault="008B422B" w:rsidP="00331B18">
      <w:pPr>
        <w:overflowPunct w:val="0"/>
        <w:textAlignment w:val="baseline"/>
        <w:rPr>
          <w:rFonts w:eastAsia="Times New Roman"/>
        </w:rPr>
      </w:pPr>
      <w:r w:rsidRPr="00E82FE8">
        <w:rPr>
          <w:rFonts w:eastAsia="Times New Roman"/>
        </w:rPr>
        <w:t>G</w:t>
      </w:r>
      <w:r w:rsidR="00C17319" w:rsidRPr="00E82FE8">
        <w:rPr>
          <w:rFonts w:eastAsia="Times New Roman"/>
        </w:rPr>
        <w:t xml:space="preserve">reater </w:t>
      </w:r>
      <w:r w:rsidR="00C17319" w:rsidRPr="00E82FE8">
        <w:rPr>
          <w:shd w:val="clear" w:color="auto" w:fill="FFFFFF"/>
        </w:rPr>
        <w:t>corporate social responsibility</w:t>
      </w:r>
      <w:r w:rsidR="003545EB" w:rsidRPr="00E82FE8">
        <w:t xml:space="preserve"> makes for a better marketplace.</w:t>
      </w:r>
      <w:r w:rsidR="003545EB" w:rsidRPr="00E82FE8">
        <w:rPr>
          <w:rStyle w:val="FootnoteReference"/>
        </w:rPr>
        <w:footnoteReference w:id="80"/>
      </w:r>
      <w:r w:rsidR="003545EB" w:rsidRPr="00E82FE8">
        <w:t xml:space="preserve">  Markets are more efficient where transparency and trust are found, and transactional risk decreases. </w:t>
      </w:r>
      <w:r w:rsidR="003545EB" w:rsidRPr="00E82FE8">
        <w:rPr>
          <w:rFonts w:eastAsia="Times New Roman"/>
        </w:rPr>
        <w:t xml:space="preserve"> </w:t>
      </w:r>
      <w:r w:rsidR="00731948" w:rsidRPr="00E82FE8">
        <w:rPr>
          <w:rFonts w:eastAsia="Times New Roman"/>
        </w:rPr>
        <w:t xml:space="preserve">The resulting economic benefits help us all. </w:t>
      </w:r>
    </w:p>
    <w:p w14:paraId="0EB2AF2A" w14:textId="77777777" w:rsidR="00562A49" w:rsidRPr="00E82FE8" w:rsidRDefault="00562A49" w:rsidP="00FB6676">
      <w:pPr>
        <w:overflowPunct w:val="0"/>
        <w:ind w:right="720"/>
        <w:jc w:val="right"/>
        <w:textAlignment w:val="baseline"/>
        <w:rPr>
          <w:rFonts w:eastAsia="Times New Roman"/>
        </w:rPr>
      </w:pPr>
    </w:p>
    <w:p w14:paraId="77F69973" w14:textId="5BA03215" w:rsidR="00331B18" w:rsidRPr="00E82FE8" w:rsidRDefault="00331B18" w:rsidP="00FB6676">
      <w:pPr>
        <w:overflowPunct w:val="0"/>
        <w:ind w:right="720"/>
        <w:jc w:val="right"/>
        <w:textAlignment w:val="baseline"/>
        <w:rPr>
          <w:rFonts w:eastAsia="Times New Roman"/>
        </w:rPr>
      </w:pPr>
      <w:r w:rsidRPr="00E82FE8">
        <w:rPr>
          <w:rFonts w:eastAsia="Times New Roman"/>
        </w:rPr>
        <w:t>Gary W. Derrick</w:t>
      </w:r>
      <w:r w:rsidRPr="00E82FE8">
        <w:rPr>
          <w:rFonts w:eastAsia="Times New Roman"/>
        </w:rPr>
        <w:br/>
      </w:r>
      <w:r w:rsidR="00F84BD2" w:rsidRPr="00E82FE8">
        <w:rPr>
          <w:rFonts w:eastAsia="Times New Roman"/>
        </w:rPr>
        <w:t xml:space="preserve">November </w:t>
      </w:r>
      <w:r w:rsidR="00905854" w:rsidRPr="00E82FE8">
        <w:rPr>
          <w:rFonts w:eastAsia="Times New Roman"/>
        </w:rPr>
        <w:t>2</w:t>
      </w:r>
      <w:r w:rsidR="005F28B5" w:rsidRPr="00E82FE8">
        <w:rPr>
          <w:rFonts w:eastAsia="Times New Roman"/>
        </w:rPr>
        <w:t>2</w:t>
      </w:r>
      <w:r w:rsidRPr="00E82FE8">
        <w:rPr>
          <w:rFonts w:eastAsia="Times New Roman"/>
        </w:rPr>
        <w:t xml:space="preserve">, </w:t>
      </w:r>
      <w:r w:rsidR="00DD56C6" w:rsidRPr="00E82FE8">
        <w:rPr>
          <w:rFonts w:eastAsia="Times New Roman"/>
        </w:rPr>
        <w:t>2021</w:t>
      </w:r>
    </w:p>
    <w:p w14:paraId="37655C4D" w14:textId="77777777" w:rsidR="00450B80" w:rsidRPr="00E82FE8" w:rsidRDefault="00450B80" w:rsidP="00450B80">
      <w:pPr>
        <w:rPr>
          <w:rFonts w:eastAsia="Times New Roman"/>
          <w:szCs w:val="24"/>
        </w:rPr>
      </w:pPr>
    </w:p>
    <w:sectPr w:rsidR="00450B80" w:rsidRPr="00E82FE8" w:rsidSect="00626220">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3A6" w14:textId="77777777" w:rsidR="00B47AA9" w:rsidRDefault="00B47AA9" w:rsidP="00331B18">
      <w:pPr>
        <w:spacing w:before="0"/>
      </w:pPr>
      <w:r>
        <w:separator/>
      </w:r>
    </w:p>
  </w:endnote>
  <w:endnote w:type="continuationSeparator" w:id="0">
    <w:p w14:paraId="1E53C4D0" w14:textId="77777777" w:rsidR="00B47AA9" w:rsidRDefault="00B47AA9" w:rsidP="00331B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1A2"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78F0A" w14:textId="77777777" w:rsidR="00B47AA9" w:rsidRDefault="00B4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6B31"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6F124A" w14:textId="77777777" w:rsidR="00B47AA9" w:rsidRDefault="00B47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B3C" w14:textId="4F811C78" w:rsidR="00B47AA9" w:rsidRDefault="00B47AA9" w:rsidP="00DD3E18">
    <w:pPr>
      <w:pStyle w:val="Footer"/>
      <w:ind w:firstLine="0"/>
      <w:jc w:val="center"/>
    </w:pPr>
    <w:r>
      <w:rPr>
        <w:sz w:val="20"/>
      </w:rPr>
      <w:t>Gary W. Derrick 202</w:t>
    </w:r>
    <w:r w:rsidR="005F103C">
      <w:rPr>
        <w:sz w:val="20"/>
      </w:rPr>
      <w:t>1</w:t>
    </w:r>
    <w:r>
      <w:rPr>
        <w:sz w:val="20"/>
      </w:rPr>
      <w:t>©</w:t>
    </w:r>
  </w:p>
  <w:p w14:paraId="35139344" w14:textId="77777777" w:rsidR="00B47AA9" w:rsidRDefault="00B47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032B"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E5B1D" w14:textId="77777777" w:rsidR="00B47AA9" w:rsidRDefault="00B47AA9">
    <w:pPr>
      <w:pStyle w:val="Footer"/>
    </w:pPr>
  </w:p>
  <w:p w14:paraId="010CACED" w14:textId="77777777" w:rsidR="00B47AA9" w:rsidRDefault="00B47A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92406"/>
      <w:docPartObj>
        <w:docPartGallery w:val="Page Numbers (Bottom of Page)"/>
        <w:docPartUnique/>
      </w:docPartObj>
    </w:sdtPr>
    <w:sdtEndPr>
      <w:rPr>
        <w:noProof/>
      </w:rPr>
    </w:sdtEndPr>
    <w:sdtContent>
      <w:p w14:paraId="7515F65B" w14:textId="154E2A79" w:rsidR="00B20F48" w:rsidRDefault="00B20F48" w:rsidP="003773D8">
        <w:pPr>
          <w:pStyle w:val="Footer"/>
          <w:spacing w:line="240" w:lineRule="auto"/>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1906" w14:textId="77777777" w:rsidR="00B47AA9" w:rsidRPr="00C1394D" w:rsidRDefault="00B47AA9" w:rsidP="00C1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F790" w14:textId="77777777" w:rsidR="00B47AA9" w:rsidRDefault="00B47AA9" w:rsidP="00331B18">
      <w:pPr>
        <w:spacing w:before="0"/>
      </w:pPr>
      <w:r>
        <w:separator/>
      </w:r>
    </w:p>
  </w:footnote>
  <w:footnote w:type="continuationSeparator" w:id="0">
    <w:p w14:paraId="138D9A1D" w14:textId="77777777" w:rsidR="00B47AA9" w:rsidRDefault="00B47AA9" w:rsidP="00331B18">
      <w:pPr>
        <w:spacing w:before="0"/>
      </w:pPr>
      <w:r>
        <w:continuationSeparator/>
      </w:r>
    </w:p>
  </w:footnote>
  <w:footnote w:id="1">
    <w:p w14:paraId="6EC9C6BF" w14:textId="1980FFA9" w:rsidR="00AB1BBB" w:rsidRDefault="00AB1BBB">
      <w:pPr>
        <w:pStyle w:val="FootnoteText"/>
      </w:pPr>
      <w:r>
        <w:rPr>
          <w:rStyle w:val="FootnoteReference"/>
        </w:rPr>
        <w:footnoteRef/>
      </w:r>
      <w:r>
        <w:t xml:space="preserve"> </w:t>
      </w:r>
      <w:r>
        <w:tab/>
        <w:t>Bureau of Economic Analysis</w:t>
      </w:r>
      <w:r w:rsidR="0073521A">
        <w:t xml:space="preserve">, Gross Domestic Product, 2nd Quarter 2020 (at </w:t>
      </w:r>
      <w:r w:rsidR="0073521A" w:rsidRPr="00D217CE">
        <w:t>https://www.bea.gov/news/2020/gross-domestic-product-2nd-quarter-2020-advance-estimate-andannual-update</w:t>
      </w:r>
      <w:r w:rsidR="0073521A">
        <w:t xml:space="preserve">). </w:t>
      </w:r>
    </w:p>
  </w:footnote>
  <w:footnote w:id="2">
    <w:p w14:paraId="451B9106" w14:textId="1F9A7068" w:rsidR="00137533" w:rsidRDefault="00137533">
      <w:pPr>
        <w:pStyle w:val="FootnoteText"/>
      </w:pPr>
      <w:r>
        <w:rPr>
          <w:rStyle w:val="FootnoteReference"/>
        </w:rPr>
        <w:footnoteRef/>
      </w:r>
      <w:r>
        <w:t xml:space="preserve"> </w:t>
      </w:r>
      <w:r>
        <w:tab/>
      </w:r>
      <w:r w:rsidRPr="00137533">
        <w:t xml:space="preserve">Elizabeth Weber Handwerker, Peter B. Meyer, Joseph Piacentini, Michael Schultz, and Leo Sveikauskas, </w:t>
      </w:r>
      <w:r>
        <w:t>“</w:t>
      </w:r>
      <w:r w:rsidRPr="00137533">
        <w:t xml:space="preserve">Employment </w:t>
      </w:r>
      <w:r w:rsidR="00C212A8">
        <w:t>R</w:t>
      </w:r>
      <w:r w:rsidRPr="00137533">
        <w:t xml:space="preserve">ecovery in the </w:t>
      </w:r>
      <w:r w:rsidR="00C212A8">
        <w:t>W</w:t>
      </w:r>
      <w:r w:rsidRPr="00137533">
        <w:t xml:space="preserve">ake of the COVID-19 </w:t>
      </w:r>
      <w:r w:rsidR="00C212A8">
        <w:t>P</w:t>
      </w:r>
      <w:r w:rsidRPr="00137533">
        <w:t>andemic</w:t>
      </w:r>
      <w:r>
        <w:t xml:space="preserve">”, </w:t>
      </w:r>
      <w:r w:rsidRPr="00137533">
        <w:t>Monthly Labor Review,</w:t>
      </w:r>
      <w:r>
        <w:t xml:space="preserve"> </w:t>
      </w:r>
      <w:r w:rsidRPr="00137533">
        <w:t>U.S. Bureau of Labor Statistics</w:t>
      </w:r>
      <w:r>
        <w:t xml:space="preserve"> (</w:t>
      </w:r>
      <w:r w:rsidRPr="00137533">
        <w:t>December 2020</w:t>
      </w:r>
      <w:r>
        <w:t>) (</w:t>
      </w:r>
      <w:r w:rsidR="00D217CE">
        <w:t xml:space="preserve">at </w:t>
      </w:r>
      <w:r w:rsidR="00D217CE" w:rsidRPr="00D217CE">
        <w:rPr>
          <w:rFonts w:cs="Times New Roman"/>
        </w:rPr>
        <w:t>https://doi.org/10.21916/</w:t>
      </w:r>
      <w:r w:rsidR="00D217CE">
        <w:rPr>
          <w:rFonts w:cs="Times New Roman"/>
        </w:rPr>
        <w:t xml:space="preserve"> </w:t>
      </w:r>
      <w:r w:rsidR="00D217CE" w:rsidRPr="00D217CE">
        <w:rPr>
          <w:rFonts w:cs="Times New Roman"/>
        </w:rPr>
        <w:t>mlr.2020.27</w:t>
      </w:r>
      <w:r w:rsidRPr="00D217CE">
        <w:rPr>
          <w:rFonts w:cs="Times New Roman"/>
        </w:rPr>
        <w:t xml:space="preserve">). </w:t>
      </w:r>
    </w:p>
  </w:footnote>
  <w:footnote w:id="3">
    <w:p w14:paraId="61D3C30B" w14:textId="77777777" w:rsidR="00840560" w:rsidRDefault="00840560" w:rsidP="00840560">
      <w:pPr>
        <w:pStyle w:val="FootnoteText"/>
      </w:pPr>
      <w:r>
        <w:rPr>
          <w:rStyle w:val="FootnoteReference"/>
        </w:rPr>
        <w:footnoteRef/>
      </w:r>
      <w:r>
        <w:t xml:space="preserve"> </w:t>
      </w:r>
      <w:r>
        <w:tab/>
        <w:t xml:space="preserve">“The Peril and the Promise”, </w:t>
      </w:r>
      <w:r w:rsidRPr="002F29E9">
        <w:rPr>
          <w:i/>
          <w:iCs/>
        </w:rPr>
        <w:t>The Economist</w:t>
      </w:r>
      <w:r>
        <w:t xml:space="preserve"> (Oct. 10, 2020).</w:t>
      </w:r>
    </w:p>
  </w:footnote>
  <w:footnote w:id="4">
    <w:p w14:paraId="4B116D22" w14:textId="4254CA00" w:rsidR="00923B7E" w:rsidRDefault="00923B7E" w:rsidP="009825CF">
      <w:pPr>
        <w:pStyle w:val="Footnote"/>
      </w:pPr>
      <w:r>
        <w:rPr>
          <w:rStyle w:val="FootnoteReference"/>
        </w:rPr>
        <w:footnoteRef/>
      </w:r>
      <w:r>
        <w:t xml:space="preserve"> </w:t>
      </w:r>
      <w:r>
        <w:tab/>
        <w:t>Centers for Disease Control and Prevention, COVID Data Tracker (</w:t>
      </w:r>
      <w:r w:rsidRPr="00D217CE">
        <w:t>https://covid.cdc.gov/covid-data-tracker/#datatracker-home</w:t>
      </w:r>
      <w:r>
        <w:t>, last accessed Oct. 30, 2021)</w:t>
      </w:r>
      <w:r w:rsidR="00FD7E25">
        <w:t xml:space="preserve">.  The COVID-19 death toll has surpassed the 1918-1919 </w:t>
      </w:r>
      <w:r w:rsidR="00B04E73">
        <w:t>in</w:t>
      </w:r>
      <w:r w:rsidR="00FD7E25">
        <w:t>flu</w:t>
      </w:r>
      <w:r w:rsidR="00B04E73">
        <w:t>enza</w:t>
      </w:r>
      <w:r w:rsidR="00FD7E25">
        <w:t xml:space="preserve"> outbreak as the most lethal pandemic in modern U.S. history. </w:t>
      </w:r>
      <w:r w:rsidR="00B04E73">
        <w:t>Berkeley Lovelace Jr</w:t>
      </w:r>
      <w:r w:rsidR="00B04E73" w:rsidRPr="00B04E73">
        <w:rPr>
          <w:rFonts w:cs="Times New Roman"/>
          <w:szCs w:val="20"/>
        </w:rPr>
        <w:t>., “</w:t>
      </w:r>
      <w:r w:rsidR="00B04E73" w:rsidRPr="00B04E73">
        <w:rPr>
          <w:rFonts w:cs="Times New Roman"/>
          <w:color w:val="000000"/>
          <w:szCs w:val="20"/>
        </w:rPr>
        <w:t>C</w:t>
      </w:r>
      <w:r w:rsidR="00B04E73">
        <w:rPr>
          <w:rFonts w:cs="Times New Roman"/>
          <w:color w:val="000000"/>
          <w:szCs w:val="20"/>
        </w:rPr>
        <w:t>OVID</w:t>
      </w:r>
      <w:r w:rsidR="00B04E73" w:rsidRPr="00B04E73">
        <w:rPr>
          <w:rFonts w:cs="Times New Roman"/>
          <w:color w:val="000000"/>
          <w:szCs w:val="20"/>
        </w:rPr>
        <w:t xml:space="preserve"> is officially America’s deadliest pandemic as U.S. fatalities surpass 1918 flu estimates</w:t>
      </w:r>
      <w:r w:rsidR="00B04E73">
        <w:rPr>
          <w:rFonts w:cs="Times New Roman"/>
          <w:color w:val="000000"/>
          <w:szCs w:val="20"/>
        </w:rPr>
        <w:t xml:space="preserve">”, </w:t>
      </w:r>
      <w:r w:rsidR="00B04E73" w:rsidRPr="009825CF">
        <w:rPr>
          <w:rFonts w:cs="Times New Roman"/>
          <w:i/>
          <w:iCs/>
          <w:color w:val="000000"/>
          <w:szCs w:val="20"/>
        </w:rPr>
        <w:t>CNBC</w:t>
      </w:r>
      <w:r w:rsidR="00B04E73">
        <w:rPr>
          <w:rFonts w:cs="Times New Roman"/>
          <w:color w:val="000000"/>
          <w:szCs w:val="20"/>
        </w:rPr>
        <w:t xml:space="preserve"> (Sep</w:t>
      </w:r>
      <w:r w:rsidR="009825CF">
        <w:rPr>
          <w:rFonts w:cs="Times New Roman"/>
          <w:color w:val="000000"/>
          <w:szCs w:val="20"/>
        </w:rPr>
        <w:t>t</w:t>
      </w:r>
      <w:r w:rsidR="00B04E73">
        <w:rPr>
          <w:rFonts w:cs="Times New Roman"/>
          <w:color w:val="000000"/>
          <w:szCs w:val="20"/>
        </w:rPr>
        <w:t>. 20, 2021)</w:t>
      </w:r>
      <w:r w:rsidR="009825CF">
        <w:rPr>
          <w:rFonts w:cs="Times New Roman"/>
          <w:color w:val="000000"/>
          <w:szCs w:val="20"/>
        </w:rPr>
        <w:t>.</w:t>
      </w:r>
    </w:p>
  </w:footnote>
  <w:footnote w:id="5">
    <w:p w14:paraId="4A745F73" w14:textId="3B6C1126" w:rsidR="007F4886" w:rsidRDefault="007F4886" w:rsidP="007F4886">
      <w:pPr>
        <w:pStyle w:val="FootnoteText"/>
      </w:pPr>
      <w:r>
        <w:rPr>
          <w:rStyle w:val="FootnoteReference"/>
        </w:rPr>
        <w:footnoteRef/>
      </w:r>
      <w:r>
        <w:t xml:space="preserve"> </w:t>
      </w:r>
      <w:r>
        <w:tab/>
        <w:t xml:space="preserve">International Monetary Fund, </w:t>
      </w:r>
      <w:r w:rsidRPr="00847A16">
        <w:rPr>
          <w:i/>
          <w:iCs/>
        </w:rPr>
        <w:t>World Economic Outlook: a Long and Difficult Ascent</w:t>
      </w:r>
      <w:r>
        <w:t xml:space="preserve"> (Oct. 2020) (at </w:t>
      </w:r>
      <w:r w:rsidR="00137533" w:rsidRPr="00D217CE">
        <w:t>https://www.imf.org/en/Publications/WEO/Issues/2020/09/30/world-economic-outlook-october-2020</w:t>
      </w:r>
      <w:r>
        <w:t xml:space="preserve">). </w:t>
      </w:r>
    </w:p>
  </w:footnote>
  <w:footnote w:id="6">
    <w:p w14:paraId="088D3618" w14:textId="7E1983D0" w:rsidR="003A769D" w:rsidRDefault="003A769D" w:rsidP="003A769D">
      <w:pPr>
        <w:pStyle w:val="FootnoteText"/>
      </w:pPr>
      <w:r>
        <w:rPr>
          <w:rStyle w:val="FootnoteReference"/>
        </w:rPr>
        <w:footnoteRef/>
      </w:r>
      <w:r>
        <w:t xml:space="preserve"> </w:t>
      </w:r>
      <w:r>
        <w:tab/>
      </w:r>
      <w:bookmarkStart w:id="0" w:name="_Hlk86490816"/>
      <w:r>
        <w:t xml:space="preserve">GDP returned to its pre-pandemic level in the second quarter of 2021. </w:t>
      </w:r>
      <w:r w:rsidR="002905A0">
        <w:t xml:space="preserve"> Mitchell Barnes, Lauren Bauer and Wendy Edelberg, </w:t>
      </w:r>
      <w:r>
        <w:t xml:space="preserve">“11 </w:t>
      </w:r>
      <w:r w:rsidR="00982765">
        <w:t>F</w:t>
      </w:r>
      <w:r>
        <w:t xml:space="preserve">acts on the </w:t>
      </w:r>
      <w:r w:rsidR="00982765">
        <w:t>E</w:t>
      </w:r>
      <w:r>
        <w:t xml:space="preserve">conomic </w:t>
      </w:r>
      <w:r w:rsidR="00982765">
        <w:t>R</w:t>
      </w:r>
      <w:r>
        <w:t xml:space="preserve">ecovery from the COVID-19 </w:t>
      </w:r>
      <w:r w:rsidR="00982765">
        <w:t>P</w:t>
      </w:r>
      <w:r>
        <w:t xml:space="preserve">andemic”, </w:t>
      </w:r>
      <w:r w:rsidRPr="008C1986">
        <w:rPr>
          <w:i/>
          <w:iCs/>
        </w:rPr>
        <w:t>The Brookings Institute</w:t>
      </w:r>
      <w:r>
        <w:t xml:space="preserve"> (Sept. 29, 2021).</w:t>
      </w:r>
      <w:bookmarkEnd w:id="0"/>
    </w:p>
  </w:footnote>
  <w:footnote w:id="7">
    <w:p w14:paraId="2C60FA3B" w14:textId="09055336" w:rsidR="003A769D" w:rsidRDefault="003A769D" w:rsidP="003A769D">
      <w:pPr>
        <w:pStyle w:val="FootnoteText"/>
      </w:pPr>
      <w:r>
        <w:rPr>
          <w:rStyle w:val="FootnoteReference"/>
        </w:rPr>
        <w:footnoteRef/>
      </w:r>
      <w:r>
        <w:t xml:space="preserve"> </w:t>
      </w:r>
      <w:r>
        <w:tab/>
      </w:r>
      <w:r w:rsidRPr="00FD091E">
        <w:t>Bureau of Labor Statistics</w:t>
      </w:r>
      <w:r>
        <w:t>,</w:t>
      </w:r>
      <w:r w:rsidRPr="00FD091E">
        <w:t xml:space="preserve"> </w:t>
      </w:r>
      <w:r>
        <w:t>“</w:t>
      </w:r>
      <w:hyperlink r:id="rId1" w:tgtFrame="_blank" w:history="1">
        <w:r w:rsidRPr="00FD091E">
          <w:t>The Employment Situation</w:t>
        </w:r>
      </w:hyperlink>
      <w:r>
        <w:t>” (</w:t>
      </w:r>
      <w:r w:rsidR="00D217CE">
        <w:t xml:space="preserve">at </w:t>
      </w:r>
      <w:r w:rsidR="00D217CE" w:rsidRPr="00D217CE">
        <w:t>https://www.bls.gov/news.release/</w:t>
      </w:r>
      <w:r w:rsidR="00D217CE">
        <w:t xml:space="preserve"> </w:t>
      </w:r>
      <w:r w:rsidRPr="00D217CE">
        <w:t>pdf/empsit.pdf</w:t>
      </w:r>
      <w:r>
        <w:t xml:space="preserve">). </w:t>
      </w:r>
    </w:p>
  </w:footnote>
  <w:footnote w:id="8">
    <w:p w14:paraId="25C384FB" w14:textId="4CB7DFAA" w:rsidR="00673528" w:rsidRDefault="00673528">
      <w:pPr>
        <w:pStyle w:val="FootnoteText"/>
      </w:pPr>
      <w:r>
        <w:rPr>
          <w:rStyle w:val="FootnoteReference"/>
        </w:rPr>
        <w:footnoteRef/>
      </w:r>
      <w:r>
        <w:t xml:space="preserve"> </w:t>
      </w:r>
      <w:r>
        <w:tab/>
      </w:r>
      <w:r w:rsidR="00181DF5">
        <w:t xml:space="preserve">International Monetary Fund, </w:t>
      </w:r>
      <w:r w:rsidR="00181DF5" w:rsidRPr="00847A16">
        <w:rPr>
          <w:i/>
          <w:iCs/>
        </w:rPr>
        <w:t xml:space="preserve">World Economic Outlook: </w:t>
      </w:r>
      <w:r w:rsidR="00181DF5">
        <w:rPr>
          <w:i/>
          <w:iCs/>
        </w:rPr>
        <w:t xml:space="preserve">Recovery During a Pandemic </w:t>
      </w:r>
      <w:r w:rsidR="00181DF5">
        <w:t xml:space="preserve">(Oct. 2021) (at </w:t>
      </w:r>
      <w:r w:rsidR="00181DF5" w:rsidRPr="00D217CE">
        <w:t>https://www.imf.org/en/Publications/WEO/Issues/2021/10/12/world-economic-outlook-october-2021</w:t>
      </w:r>
      <w:r w:rsidR="00181DF5">
        <w:t>)</w:t>
      </w:r>
      <w:r w:rsidR="00844005">
        <w:t xml:space="preserve"> (“</w:t>
      </w:r>
      <w:r w:rsidR="00844005" w:rsidRPr="00844005">
        <w:rPr>
          <w:i/>
          <w:iCs/>
        </w:rPr>
        <w:t>Oct. 2021 WEO Report</w:t>
      </w:r>
      <w:r w:rsidR="00844005">
        <w:t>”)</w:t>
      </w:r>
      <w:r w:rsidR="00181DF5">
        <w:t>.</w:t>
      </w:r>
      <w:r>
        <w:t xml:space="preserve"> </w:t>
      </w:r>
    </w:p>
  </w:footnote>
  <w:footnote w:id="9">
    <w:p w14:paraId="41219639" w14:textId="0E11663C" w:rsidR="00E62DF8" w:rsidRDefault="00E62DF8">
      <w:pPr>
        <w:pStyle w:val="FootnoteText"/>
      </w:pPr>
      <w:r>
        <w:rPr>
          <w:rStyle w:val="FootnoteReference"/>
        </w:rPr>
        <w:footnoteRef/>
      </w:r>
      <w:r>
        <w:t xml:space="preserve"> </w:t>
      </w:r>
      <w:r>
        <w:tab/>
      </w:r>
      <w:r w:rsidR="00982765">
        <w:t xml:space="preserve">Eduardo Levy Yeyati and Federico Filippini, “Social and Economic Impact of COVID-19”, </w:t>
      </w:r>
      <w:r w:rsidR="00982765" w:rsidRPr="008C1986">
        <w:rPr>
          <w:i/>
          <w:iCs/>
        </w:rPr>
        <w:t>The Brookings Institute</w:t>
      </w:r>
      <w:r w:rsidR="00982765">
        <w:t xml:space="preserve"> (June 8, 2021).  </w:t>
      </w:r>
      <w:r w:rsidR="003773D8">
        <w:t>“</w:t>
      </w:r>
      <w:r>
        <w:t>As discussed in the April 2021 WEO, without the direct fiscal actions and liquidity support policies implemented across Group of Twenty economies in 2020, the contraction in global activity could have been at least three times worse than the actual outcome</w:t>
      </w:r>
      <w:r w:rsidR="00314910">
        <w:t>.</w:t>
      </w:r>
      <w:r w:rsidR="003773D8">
        <w:t xml:space="preserve">” </w:t>
      </w:r>
      <w:r w:rsidR="00844005">
        <w:t xml:space="preserve"> </w:t>
      </w:r>
      <w:r w:rsidR="00844005" w:rsidRPr="00844005">
        <w:rPr>
          <w:i/>
          <w:iCs/>
        </w:rPr>
        <w:t>Supra</w:t>
      </w:r>
      <w:r w:rsidR="00844005">
        <w:t xml:space="preserve">, </w:t>
      </w:r>
      <w:r w:rsidR="00844005" w:rsidRPr="00844005">
        <w:t>Oct. 2021 WEO Report</w:t>
      </w:r>
      <w:r w:rsidR="00844005">
        <w:t>.</w:t>
      </w:r>
    </w:p>
  </w:footnote>
  <w:footnote w:id="10">
    <w:p w14:paraId="7074CEFB" w14:textId="0B4160A0" w:rsidR="00D95341" w:rsidRDefault="00D95341">
      <w:pPr>
        <w:pStyle w:val="FootnoteText"/>
      </w:pPr>
      <w:r>
        <w:rPr>
          <w:rStyle w:val="FootnoteReference"/>
        </w:rPr>
        <w:footnoteRef/>
      </w:r>
      <w:r>
        <w:t xml:space="preserve"> </w:t>
      </w:r>
      <w:r>
        <w:tab/>
      </w:r>
      <w:r w:rsidRPr="00D95341">
        <w:rPr>
          <w:i/>
          <w:iCs/>
        </w:rPr>
        <w:t>Id</w:t>
      </w:r>
      <w:r>
        <w:t xml:space="preserve">. </w:t>
      </w:r>
    </w:p>
  </w:footnote>
  <w:footnote w:id="11">
    <w:p w14:paraId="3F251E70" w14:textId="5129F68A" w:rsidR="00904A36" w:rsidRDefault="00904A36" w:rsidP="00904A36">
      <w:pPr>
        <w:pStyle w:val="FootnoteText"/>
      </w:pPr>
      <w:r>
        <w:rPr>
          <w:rStyle w:val="FootnoteReference"/>
        </w:rPr>
        <w:footnoteRef/>
      </w:r>
      <w:r>
        <w:t xml:space="preserve"> </w:t>
      </w:r>
      <w:r>
        <w:tab/>
        <w:t xml:space="preserve">The IMF estimates that the continued COVID-19 impact could reduce global GDP by $5.3 trillion over the next five years. </w:t>
      </w:r>
      <w:r w:rsidR="00D95341">
        <w:t xml:space="preserve"> </w:t>
      </w:r>
      <w:r w:rsidR="00D95341" w:rsidRPr="002801F0">
        <w:rPr>
          <w:i/>
          <w:iCs/>
        </w:rPr>
        <w:t>Id</w:t>
      </w:r>
      <w:r w:rsidR="00D95341">
        <w:t xml:space="preserve">. </w:t>
      </w:r>
    </w:p>
  </w:footnote>
  <w:footnote w:id="12">
    <w:p w14:paraId="5CE08447" w14:textId="77777777" w:rsidR="00090872" w:rsidRDefault="00F73567">
      <w:pPr>
        <w:pStyle w:val="FootnoteText"/>
      </w:pPr>
      <w:r>
        <w:rPr>
          <w:rStyle w:val="FootnoteReference"/>
        </w:rPr>
        <w:footnoteRef/>
      </w:r>
      <w:r>
        <w:t xml:space="preserve"> </w:t>
      </w:r>
      <w:r>
        <w:tab/>
        <w:t>Coffee, Jr., John C., “What Caused Enron?  A Capsule Social and Economic History of the 1990s”, 89 Cornell L. Rev. 269 (2003-2004).</w:t>
      </w:r>
    </w:p>
    <w:p w14:paraId="66F1EC6E" w14:textId="6DD343E4" w:rsidR="00F73567" w:rsidRDefault="00F73567">
      <w:pPr>
        <w:pStyle w:val="FootnoteText"/>
      </w:pPr>
      <w:r>
        <w:t xml:space="preserve"> </w:t>
      </w:r>
    </w:p>
  </w:footnote>
  <w:footnote w:id="13">
    <w:p w14:paraId="0E594F4B" w14:textId="78A5345B" w:rsidR="00D14B6E" w:rsidRDefault="00D14B6E" w:rsidP="00D14B6E">
      <w:pPr>
        <w:pStyle w:val="Footnote"/>
      </w:pPr>
      <w:r>
        <w:rPr>
          <w:rStyle w:val="FootnoteReference"/>
        </w:rPr>
        <w:footnoteRef/>
      </w:r>
      <w:r>
        <w:t xml:space="preserve"> </w:t>
      </w:r>
      <w:r>
        <w:tab/>
      </w:r>
      <w:r w:rsidR="00B65F8F">
        <w:t>Sarbanes-Oxley Act of 2002, Pub. L. No. 107-204, 116 Stat. 745 (2002).(“</w:t>
      </w:r>
      <w:r w:rsidR="00B65F8F" w:rsidRPr="00B65F8F">
        <w:rPr>
          <w:i/>
          <w:iCs/>
        </w:rPr>
        <w:t>SOX</w:t>
      </w:r>
      <w:r w:rsidR="00B65F8F">
        <w:t xml:space="preserve">”).  </w:t>
      </w:r>
      <w:r>
        <w:rPr>
          <w:shd w:val="clear" w:color="auto" w:fill="FFFFFF"/>
        </w:rPr>
        <w:t xml:space="preserve">SOX required each public </w:t>
      </w:r>
      <w:r w:rsidR="009511A5">
        <w:rPr>
          <w:shd w:val="clear" w:color="auto" w:fill="FFFFFF"/>
        </w:rPr>
        <w:t>company</w:t>
      </w:r>
      <w:r>
        <w:rPr>
          <w:shd w:val="clear" w:color="auto" w:fill="FFFFFF"/>
        </w:rPr>
        <w:t xml:space="preserve"> to have an audit committee composed of independent </w:t>
      </w:r>
      <w:r w:rsidR="00982765">
        <w:rPr>
          <w:shd w:val="clear" w:color="auto" w:fill="FFFFFF"/>
        </w:rPr>
        <w:t>directors and</w:t>
      </w:r>
      <w:r>
        <w:rPr>
          <w:shd w:val="clear" w:color="auto" w:fill="FFFFFF"/>
        </w:rPr>
        <w:t xml:space="preserve"> prohibited company loans to certain executives and directors. It required attorneys for public </w:t>
      </w:r>
      <w:r w:rsidR="009511A5">
        <w:rPr>
          <w:shd w:val="clear" w:color="auto" w:fill="FFFFFF"/>
        </w:rPr>
        <w:t>companies</w:t>
      </w:r>
      <w:r>
        <w:rPr>
          <w:shd w:val="clear" w:color="auto" w:fill="FFFFFF"/>
        </w:rPr>
        <w:t xml:space="preserve"> to report material violations of law to the </w:t>
      </w:r>
      <w:r w:rsidR="009511A5">
        <w:rPr>
          <w:shd w:val="clear" w:color="auto" w:fill="FFFFFF"/>
        </w:rPr>
        <w:t>company</w:t>
      </w:r>
      <w:r>
        <w:rPr>
          <w:shd w:val="clear" w:color="auto" w:fill="FFFFFF"/>
        </w:rPr>
        <w:t>’s chief legal advisor and/or the CEO. One of the most controversial aspects of SOX was Section 404, requiring management certification of internal controls over financial reporting</w:t>
      </w:r>
      <w:r w:rsidR="00B65F8F">
        <w:rPr>
          <w:shd w:val="clear" w:color="auto" w:fill="FFFFFF"/>
        </w:rPr>
        <w:t xml:space="preserve">.  </w:t>
      </w:r>
      <w:r w:rsidR="00B65F8F" w:rsidRPr="00B65F8F">
        <w:rPr>
          <w:i/>
          <w:iCs/>
          <w:shd w:val="clear" w:color="auto" w:fill="FFFFFF"/>
        </w:rPr>
        <w:t>See</w:t>
      </w:r>
      <w:r w:rsidR="00B65F8F">
        <w:rPr>
          <w:shd w:val="clear" w:color="auto" w:fill="FFFFFF"/>
        </w:rPr>
        <w:t xml:space="preserve"> Gary W.</w:t>
      </w:r>
      <w:r w:rsidR="009E21FA">
        <w:rPr>
          <w:shd w:val="clear" w:color="auto" w:fill="FFFFFF"/>
        </w:rPr>
        <w:t xml:space="preserve"> Derrick</w:t>
      </w:r>
      <w:r w:rsidR="00B65F8F">
        <w:rPr>
          <w:shd w:val="clear" w:color="auto" w:fill="FFFFFF"/>
        </w:rPr>
        <w:t xml:space="preserve">, Recent Developments in Oklahoma Business and Corporate Law – 2003, OBA (2003). </w:t>
      </w:r>
    </w:p>
  </w:footnote>
  <w:footnote w:id="14">
    <w:p w14:paraId="7FF54E54" w14:textId="1478017A" w:rsidR="00D14B6E" w:rsidRPr="00D14B6E" w:rsidRDefault="00D14B6E" w:rsidP="00D14B6E">
      <w:pPr>
        <w:pStyle w:val="FootnoteText"/>
      </w:pPr>
      <w:r w:rsidRPr="00D14B6E">
        <w:rPr>
          <w:rStyle w:val="FootnoteReference"/>
          <w:position w:val="0"/>
          <w:sz w:val="20"/>
        </w:rPr>
        <w:footnoteRef/>
      </w:r>
      <w:r w:rsidRPr="00D14B6E">
        <w:t xml:space="preserve"> </w:t>
      </w:r>
      <w:r w:rsidRPr="00D14B6E">
        <w:tab/>
        <w:t xml:space="preserve">Extreme volatility affected stock markets worldwide, with most suffering record declines. The U.S. unemployment rate rose to over 10% by October 2009, and remained at 9% or higher until the end of 2011. </w:t>
      </w:r>
      <w:r w:rsidR="0053115C">
        <w:t xml:space="preserve"> </w:t>
      </w:r>
      <w:r w:rsidRPr="00D14B6E">
        <w:t>In 2012, government data revealed that the median net worth of American families plunged almost 40% from 2007 to 2010</w:t>
      </w:r>
      <w:r w:rsidR="0053115C">
        <w:t>.</w:t>
      </w:r>
    </w:p>
  </w:footnote>
  <w:footnote w:id="15">
    <w:p w14:paraId="5E6D4170" w14:textId="70585189" w:rsidR="00D14B6E" w:rsidRPr="0053115C" w:rsidRDefault="00D14B6E">
      <w:pPr>
        <w:pStyle w:val="FootnoteText"/>
        <w:rPr>
          <w:rFonts w:cs="Times New Roman"/>
        </w:rPr>
      </w:pPr>
      <w:r>
        <w:rPr>
          <w:rStyle w:val="FootnoteReference"/>
        </w:rPr>
        <w:footnoteRef/>
      </w:r>
      <w:r>
        <w:t xml:space="preserve"> </w:t>
      </w:r>
      <w:r>
        <w:tab/>
      </w:r>
      <w:r w:rsidRPr="00D14B6E">
        <w:t xml:space="preserve">Congress passed the Dodd-Frank Wall Street Reform and Consumer Protection Act of 2010 </w:t>
      </w:r>
      <w:r w:rsidR="0053115C">
        <w:t>(“</w:t>
      </w:r>
      <w:r w:rsidR="0053115C" w:rsidRPr="0053115C">
        <w:rPr>
          <w:i/>
          <w:iCs/>
        </w:rPr>
        <w:t>Dodd Frank</w:t>
      </w:r>
      <w:r w:rsidR="0053115C">
        <w:t xml:space="preserve">”) </w:t>
      </w:r>
      <w:r w:rsidRPr="00D14B6E">
        <w:t>in response to the financial crisis that began in 2008.</w:t>
      </w:r>
      <w:r w:rsidR="009E21FA">
        <w:t xml:space="preserve"> </w:t>
      </w:r>
      <w:r w:rsidRPr="00D14B6E">
        <w:t xml:space="preserve"> It granted the </w:t>
      </w:r>
      <w:r w:rsidR="00BB3888">
        <w:t>Federal</w:t>
      </w:r>
      <w:r w:rsidRPr="00D14B6E">
        <w:t xml:space="preserve"> government new authority to seize and wind down large troubled financial firms, established a council of </w:t>
      </w:r>
      <w:r w:rsidR="00BB3888">
        <w:t>Federal</w:t>
      </w:r>
      <w:r w:rsidRPr="00D14B6E">
        <w:t xml:space="preserve"> regulators to monitor threats to the financial system, and mandated oversight of the derivatives market. </w:t>
      </w:r>
      <w:r w:rsidR="009E21FA">
        <w:t xml:space="preserve"> </w:t>
      </w:r>
      <w:r w:rsidRPr="00D14B6E">
        <w:t xml:space="preserve">It also gave the PCAOB authority to oversee the auditors of SEC-registered securities broker-dealers. In addition, </w:t>
      </w:r>
      <w:r w:rsidR="0053115C">
        <w:t>Dodd Frank</w:t>
      </w:r>
      <w:r w:rsidR="0053115C" w:rsidRPr="00D14B6E">
        <w:t xml:space="preserve"> </w:t>
      </w:r>
      <w:r w:rsidRPr="00D14B6E">
        <w:t xml:space="preserve">permanently exempted non-accelerated filers (more than 5,500 small public companies) from Section 404(b) of the Sarbanes-Oxley Act, </w:t>
      </w:r>
      <w:r w:rsidR="00AF7B4C">
        <w:t xml:space="preserve">which </w:t>
      </w:r>
      <w:r w:rsidRPr="00D14B6E">
        <w:t>requir</w:t>
      </w:r>
      <w:r w:rsidR="00AF7B4C">
        <w:t>ed</w:t>
      </w:r>
      <w:r w:rsidRPr="00D14B6E">
        <w:t xml:space="preserve"> an independent auditor to attest to management’s assessment of the effectiveness of the company’s internal control over financial </w:t>
      </w:r>
      <w:r w:rsidR="0053115C" w:rsidRPr="0053115C">
        <w:rPr>
          <w:rFonts w:cs="Times New Roman"/>
        </w:rPr>
        <w:t>reporting rule</w:t>
      </w:r>
      <w:r w:rsidRPr="0053115C">
        <w:rPr>
          <w:rFonts w:cs="Times New Roman"/>
          <w:color w:val="333333"/>
          <w:shd w:val="clear" w:color="auto" w:fill="FFFFFF"/>
        </w:rPr>
        <w:t xml:space="preserve"> requiring companies to hold a shareholder vote on executive compensation at </w:t>
      </w:r>
      <w:r w:rsidR="0053115C">
        <w:rPr>
          <w:rFonts w:cs="Times New Roman"/>
          <w:color w:val="333333"/>
          <w:shd w:val="clear" w:color="auto" w:fill="FFFFFF"/>
        </w:rPr>
        <w:t xml:space="preserve">least </w:t>
      </w:r>
      <w:r w:rsidRPr="0053115C">
        <w:rPr>
          <w:rFonts w:cs="Times New Roman"/>
          <w:color w:val="333333"/>
          <w:shd w:val="clear" w:color="auto" w:fill="FFFFFF"/>
        </w:rPr>
        <w:t>every three years</w:t>
      </w:r>
      <w:r w:rsidR="0053115C">
        <w:rPr>
          <w:rFonts w:cs="Times New Roman"/>
          <w:color w:val="333333"/>
          <w:shd w:val="clear" w:color="auto" w:fill="FFFFFF"/>
        </w:rPr>
        <w:t>.</w:t>
      </w:r>
    </w:p>
  </w:footnote>
  <w:footnote w:id="16">
    <w:p w14:paraId="50111195" w14:textId="77777777" w:rsidR="00B527CA" w:rsidRPr="004405DF" w:rsidRDefault="00B527CA" w:rsidP="00B527CA">
      <w:pPr>
        <w:pStyle w:val="FootnoteText"/>
        <w:rPr>
          <w:rFonts w:cs="Times New Roman"/>
          <w:sz w:val="24"/>
          <w:szCs w:val="24"/>
        </w:rPr>
      </w:pPr>
      <w:r>
        <w:rPr>
          <w:rStyle w:val="FootnoteReference"/>
        </w:rPr>
        <w:footnoteRef/>
      </w:r>
      <w:r>
        <w:t xml:space="preserve"> </w:t>
      </w:r>
      <w:r>
        <w:tab/>
      </w:r>
      <w:r w:rsidRPr="00B0148E">
        <w:rPr>
          <w:rFonts w:cs="Times New Roman"/>
          <w:color w:val="202122"/>
          <w:shd w:val="clear" w:color="auto" w:fill="FFFFFF"/>
        </w:rPr>
        <w:t xml:space="preserve">The </w:t>
      </w:r>
      <w:r>
        <w:rPr>
          <w:rFonts w:cs="Times New Roman"/>
          <w:color w:val="202122"/>
          <w:shd w:val="clear" w:color="auto" w:fill="FFFFFF"/>
        </w:rPr>
        <w:t xml:space="preserve">major </w:t>
      </w:r>
      <w:r w:rsidRPr="00B0148E">
        <w:rPr>
          <w:rFonts w:cs="Times New Roman"/>
          <w:color w:val="202122"/>
          <w:shd w:val="clear" w:color="auto" w:fill="FFFFFF"/>
        </w:rPr>
        <w:t xml:space="preserve">financial markets </w:t>
      </w:r>
      <w:r>
        <w:rPr>
          <w:rFonts w:cs="Times New Roman"/>
          <w:color w:val="202122"/>
          <w:shd w:val="clear" w:color="auto" w:fill="FFFFFF"/>
        </w:rPr>
        <w:t xml:space="preserve">all </w:t>
      </w:r>
      <w:r w:rsidRPr="00B0148E">
        <w:rPr>
          <w:rFonts w:cs="Times New Roman"/>
          <w:color w:val="202122"/>
          <w:shd w:val="clear" w:color="auto" w:fill="FFFFFF"/>
        </w:rPr>
        <w:t xml:space="preserve">provide ESG ratings indexes, such as the </w:t>
      </w:r>
      <w:r w:rsidRPr="00B0148E">
        <w:rPr>
          <w:rFonts w:cs="Times New Roman"/>
          <w:shd w:val="clear" w:color="auto" w:fill="FFFFFF"/>
        </w:rPr>
        <w:t>Dow Jones Sustainability Indices</w:t>
      </w:r>
      <w:r w:rsidRPr="00B0148E">
        <w:rPr>
          <w:rFonts w:cs="Times New Roman"/>
          <w:color w:val="202122"/>
          <w:shd w:val="clear" w:color="auto" w:fill="FFFFFF"/>
        </w:rPr>
        <w:t>, Bloomberg ESG data,</w:t>
      </w:r>
      <w:r>
        <w:rPr>
          <w:rFonts w:cs="Times New Roman"/>
          <w:color w:val="202122"/>
          <w:shd w:val="clear" w:color="auto" w:fill="FFFFFF"/>
        </w:rPr>
        <w:t xml:space="preserve"> </w:t>
      </w:r>
      <w:r w:rsidRPr="00B0148E">
        <w:rPr>
          <w:rFonts w:cs="Times New Roman"/>
          <w:color w:val="202122"/>
          <w:shd w:val="clear" w:color="auto" w:fill="FFFFFF"/>
        </w:rPr>
        <w:t>the</w:t>
      </w:r>
      <w:r>
        <w:rPr>
          <w:rFonts w:cs="Times New Roman"/>
          <w:color w:val="202122"/>
          <w:shd w:val="clear" w:color="auto" w:fill="FFFFFF"/>
        </w:rPr>
        <w:t xml:space="preserve"> </w:t>
      </w:r>
      <w:r w:rsidRPr="00B0148E">
        <w:rPr>
          <w:rFonts w:cs="Times New Roman"/>
          <w:shd w:val="clear" w:color="auto" w:fill="FFFFFF"/>
        </w:rPr>
        <w:t xml:space="preserve">FTSE4Good Index, </w:t>
      </w:r>
      <w:r w:rsidRPr="00B0148E">
        <w:rPr>
          <w:rFonts w:cs="Times New Roman"/>
          <w:color w:val="202122"/>
          <w:shd w:val="clear" w:color="auto" w:fill="FFFFFF"/>
        </w:rPr>
        <w:t>and the MSCI ESG Indices.</w:t>
      </w:r>
    </w:p>
  </w:footnote>
  <w:footnote w:id="17">
    <w:p w14:paraId="39DC54E6" w14:textId="66587C5B" w:rsidR="00B527CA" w:rsidRPr="001A4AEA" w:rsidRDefault="00B527CA" w:rsidP="00B527CA">
      <w:pPr>
        <w:pStyle w:val="Footnote"/>
        <w:rPr>
          <w:rFonts w:cs="Times New Roman"/>
          <w:szCs w:val="20"/>
        </w:rPr>
      </w:pPr>
      <w:r>
        <w:rPr>
          <w:rStyle w:val="FootnoteReference"/>
        </w:rPr>
        <w:footnoteRef/>
      </w:r>
      <w:r>
        <w:t xml:space="preserve"> </w:t>
      </w:r>
      <w:r>
        <w:tab/>
        <w:t>The financial markets historically assumed that ethically or socially motivated investment would by its nature reduce returns.  Recent research has rebutted that assumption, and many institutional investors, including BlackRock, the world’s largest investment firm</w:t>
      </w:r>
      <w:r w:rsidR="009E21FA">
        <w:t>,</w:t>
      </w:r>
      <w:r>
        <w:t xml:space="preserve"> has concluded that greater corporate responsibility equates to higher long-term investment returns.  </w:t>
      </w:r>
      <w:r w:rsidR="001A4AEA" w:rsidRPr="000C0891">
        <w:rPr>
          <w:i/>
          <w:iCs/>
        </w:rPr>
        <w:t>See</w:t>
      </w:r>
      <w:r w:rsidR="001A4AEA">
        <w:t xml:space="preserve"> </w:t>
      </w:r>
      <w:r w:rsidR="001A4AEA" w:rsidRPr="001A4AEA">
        <w:rPr>
          <w:rFonts w:cs="Times New Roman"/>
          <w:szCs w:val="20"/>
          <w:shd w:val="clear" w:color="auto" w:fill="FFFFFF"/>
        </w:rPr>
        <w:t>BlackRock</w:t>
      </w:r>
      <w:r w:rsidR="001A4AEA">
        <w:rPr>
          <w:rFonts w:cs="Times New Roman"/>
          <w:szCs w:val="20"/>
          <w:shd w:val="clear" w:color="auto" w:fill="FFFFFF"/>
        </w:rPr>
        <w:t>, “</w:t>
      </w:r>
      <w:r w:rsidR="000C0891">
        <w:t xml:space="preserve">Sustainable investing: resilience amid uncertainty” (at </w:t>
      </w:r>
      <w:r w:rsidR="009D622A" w:rsidRPr="009D622A">
        <w:rPr>
          <w:rFonts w:cs="Times New Roman"/>
          <w:szCs w:val="20"/>
          <w:shd w:val="clear" w:color="auto" w:fill="FFFFFF"/>
        </w:rPr>
        <w:t>https://www.blackrock.com/corporate/about-us/sustainability-resilience-research</w:t>
      </w:r>
      <w:r w:rsidR="000C0891">
        <w:rPr>
          <w:rFonts w:cs="Times New Roman"/>
          <w:szCs w:val="20"/>
        </w:rPr>
        <w:t>).</w:t>
      </w:r>
    </w:p>
  </w:footnote>
  <w:footnote w:id="18">
    <w:p w14:paraId="54B1D83D" w14:textId="2465AC05" w:rsidR="00B527CA" w:rsidRDefault="00B527CA" w:rsidP="00B527CA">
      <w:pPr>
        <w:pStyle w:val="Footnote"/>
      </w:pPr>
      <w:r>
        <w:rPr>
          <w:rStyle w:val="FootnoteReference"/>
        </w:rPr>
        <w:footnoteRef/>
      </w:r>
      <w:r>
        <w:t xml:space="preserve"> </w:t>
      </w:r>
      <w:r>
        <w:tab/>
      </w:r>
      <w:r w:rsidR="000279E7" w:rsidRPr="000279E7">
        <w:rPr>
          <w:i/>
          <w:iCs/>
        </w:rPr>
        <w:t>See e.g</w:t>
      </w:r>
      <w:r w:rsidR="000279E7">
        <w:t xml:space="preserve">., </w:t>
      </w:r>
      <w:r w:rsidR="007A5380">
        <w:t xml:space="preserve">Microsoft, “Corporate Social Responsibility Report” (2020) (at </w:t>
      </w:r>
      <w:r w:rsidR="00350DD5" w:rsidRPr="009D622A">
        <w:t>https://www.microsoft.com/en-us/corporate-responsibility/</w:t>
      </w:r>
      <w:r w:rsidR="00350DD5">
        <w:t xml:space="preserve">); </w:t>
      </w:r>
      <w:r w:rsidR="000279E7">
        <w:t xml:space="preserve">ExxonMobil, “Sustainability Report” (Jan. 2021) (at </w:t>
      </w:r>
      <w:r w:rsidR="000279E7" w:rsidRPr="009D622A">
        <w:t>https://corporate.exxonmobil.com/Sustainability/Sustainability-Report</w:t>
      </w:r>
      <w:r w:rsidR="000279E7">
        <w:t xml:space="preserve">); and </w:t>
      </w:r>
      <w:r w:rsidR="007A5380">
        <w:t>Coca-Cola, “Business &amp; Environment</w:t>
      </w:r>
      <w:r w:rsidR="00350DD5">
        <w:t>al, Social and Governance Report” (2020)</w:t>
      </w:r>
      <w:r w:rsidR="000279E7">
        <w:t xml:space="preserve"> </w:t>
      </w:r>
      <w:r w:rsidR="007A5380">
        <w:t xml:space="preserve">(at </w:t>
      </w:r>
      <w:r w:rsidR="007A5380" w:rsidRPr="009D622A">
        <w:t>https://www.coca-colacompany.com/reports/business-environmental-social-governance-report-2020</w:t>
      </w:r>
      <w:r w:rsidR="007A5380">
        <w:t xml:space="preserve">). </w:t>
      </w:r>
    </w:p>
  </w:footnote>
  <w:footnote w:id="19">
    <w:p w14:paraId="1E7D8E83" w14:textId="0F4EE40F" w:rsidR="006B2B29" w:rsidRDefault="006B2B29" w:rsidP="006B2B29">
      <w:pPr>
        <w:pStyle w:val="FootnoteText"/>
      </w:pPr>
      <w:r>
        <w:rPr>
          <w:rStyle w:val="FootnoteReference"/>
        </w:rPr>
        <w:footnoteRef/>
      </w:r>
      <w:r>
        <w:t xml:space="preserve"> </w:t>
      </w:r>
      <w:r>
        <w:tab/>
      </w:r>
      <w:r w:rsidR="00BD2FB5">
        <w:t xml:space="preserve">The statement was endorsed by business leaders, including the Chairman and CEO of JPMorgan Chase, the former CEO of Vanguard, and the President of the Ford Foundation. (at </w:t>
      </w:r>
      <w:r w:rsidR="00BD2FB5" w:rsidRPr="009B774E">
        <w:t>https://www.businessroundtable.org/business-roundtable-redefines-the-purpose-of-a-corporation-to-promote-an-economy-that-serves-all-americans</w:t>
      </w:r>
      <w:r w:rsidR="00BD2FB5">
        <w:t>)</w:t>
      </w:r>
      <w:r>
        <w:t xml:space="preserve">. </w:t>
      </w:r>
    </w:p>
  </w:footnote>
  <w:footnote w:id="20">
    <w:p w14:paraId="1A55D5C0" w14:textId="77777777" w:rsidR="00090872" w:rsidRDefault="006B2B29" w:rsidP="006B2B29">
      <w:pPr>
        <w:pStyle w:val="FootnoteText"/>
      </w:pPr>
      <w:r>
        <w:rPr>
          <w:rStyle w:val="FootnoteReference"/>
        </w:rPr>
        <w:footnoteRef/>
      </w:r>
      <w:r>
        <w:t xml:space="preserve"> </w:t>
      </w:r>
      <w:r>
        <w:tab/>
      </w:r>
      <w:r w:rsidR="001A4AEA" w:rsidRPr="00075A4A">
        <w:rPr>
          <w:i/>
          <w:iCs/>
        </w:rPr>
        <w:t>See</w:t>
      </w:r>
      <w:r w:rsidR="001A4AEA">
        <w:t xml:space="preserve"> </w:t>
      </w:r>
      <w:r w:rsidR="00DA3FFC">
        <w:t xml:space="preserve">Larry Fink’s 2019 Letter to CEO’s, “Purpose &amp; Profits” (at </w:t>
      </w:r>
      <w:r w:rsidR="00851B26" w:rsidRPr="009B774E">
        <w:t>https://www.blackrock.com/ corporate/investor-relations/2019-larry-fink-ceo-letter</w:t>
      </w:r>
      <w:r w:rsidR="00461BBC">
        <w:t>); and</w:t>
      </w:r>
      <w:r w:rsidR="00DA3FFC">
        <w:t xml:space="preserve"> </w:t>
      </w:r>
      <w:r w:rsidR="001A4AEA">
        <w:t xml:space="preserve">Larry Fink’s 2021 Letter to CEO’s (at </w:t>
      </w:r>
      <w:r w:rsidR="00BD2FB5" w:rsidRPr="009B774E">
        <w:t>https://www.blackrock.com/corporate/investor-relations/larry-fink-ceo-letter</w:t>
      </w:r>
      <w:r w:rsidR="00BD2FB5">
        <w:t>).</w:t>
      </w:r>
    </w:p>
    <w:p w14:paraId="51D0FD0C" w14:textId="2C3F7AC6" w:rsidR="006B2B29" w:rsidRDefault="006B2B29" w:rsidP="006B2B29">
      <w:pPr>
        <w:pStyle w:val="FootnoteText"/>
      </w:pPr>
      <w:r>
        <w:t xml:space="preserve"> </w:t>
      </w:r>
    </w:p>
  </w:footnote>
  <w:footnote w:id="21">
    <w:p w14:paraId="636D106B" w14:textId="47CBDDDE" w:rsidR="003E3B90" w:rsidRDefault="003E3B90" w:rsidP="003E3B90">
      <w:pPr>
        <w:pStyle w:val="FootnoteText"/>
      </w:pPr>
      <w:r>
        <w:rPr>
          <w:rStyle w:val="FootnoteReference"/>
        </w:rPr>
        <w:footnoteRef/>
      </w:r>
      <w:r>
        <w:t xml:space="preserve"> </w:t>
      </w:r>
      <w:r>
        <w:tab/>
        <w:t xml:space="preserve">18 O.S. </w:t>
      </w:r>
      <w:r>
        <w:rPr>
          <w:rFonts w:cs="Times New Roman"/>
        </w:rPr>
        <w:t>§1202.3.</w:t>
      </w:r>
    </w:p>
  </w:footnote>
  <w:footnote w:id="22">
    <w:p w14:paraId="6A1BD613" w14:textId="77777777" w:rsidR="003E3B90" w:rsidRDefault="003E3B90" w:rsidP="003E3B90">
      <w:pPr>
        <w:pStyle w:val="FootnoteText"/>
      </w:pPr>
      <w:r>
        <w:rPr>
          <w:rStyle w:val="FootnoteReference"/>
        </w:rPr>
        <w:footnoteRef/>
      </w:r>
      <w:r>
        <w:t xml:space="preserve"> </w:t>
      </w:r>
      <w:r>
        <w:tab/>
      </w:r>
      <w:r w:rsidRPr="009F5CD9">
        <w:rPr>
          <w:i/>
          <w:iCs/>
        </w:rPr>
        <w:t>See</w:t>
      </w:r>
      <w:r>
        <w:t xml:space="preserve"> John Montgomery, “Mastering the Benefit Corporation”, </w:t>
      </w:r>
      <w:r w:rsidRPr="009F5CD9">
        <w:rPr>
          <w:i/>
          <w:iCs/>
        </w:rPr>
        <w:t>Business Law Today</w:t>
      </w:r>
      <w:r>
        <w:t xml:space="preserve"> (July 20, 2016).</w:t>
      </w:r>
    </w:p>
  </w:footnote>
  <w:footnote w:id="23">
    <w:p w14:paraId="4FF47F4E" w14:textId="57DB3DCE" w:rsidR="003E3B90" w:rsidRPr="00F97F1A" w:rsidRDefault="003E3B90" w:rsidP="003247F1">
      <w:pPr>
        <w:pStyle w:val="Default"/>
        <w:spacing w:before="120"/>
        <w:ind w:left="720" w:hanging="360"/>
        <w:rPr>
          <w:rStyle w:val="FootnotetextChar0"/>
        </w:rPr>
      </w:pPr>
      <w:r w:rsidRPr="00F97F1A">
        <w:rPr>
          <w:rStyle w:val="FootnoteReference"/>
        </w:rPr>
        <w:footnoteRef/>
      </w:r>
      <w:r w:rsidRPr="00F97F1A">
        <w:t xml:space="preserve"> </w:t>
      </w:r>
      <w:r w:rsidRPr="00F97F1A">
        <w:tab/>
      </w:r>
      <w:r w:rsidR="003247F1" w:rsidRPr="003247F1">
        <w:rPr>
          <w:i/>
          <w:iCs/>
          <w:sz w:val="20"/>
          <w:szCs w:val="20"/>
        </w:rPr>
        <w:t xml:space="preserve">See </w:t>
      </w:r>
      <w:r w:rsidRPr="00F97F1A">
        <w:rPr>
          <w:rStyle w:val="FootnotetextChar0"/>
        </w:rPr>
        <w:t>18 O.S. §1202.5</w:t>
      </w:r>
      <w:r w:rsidR="003247F1">
        <w:rPr>
          <w:rStyle w:val="FootnotetextChar0"/>
        </w:rPr>
        <w:t>.</w:t>
      </w:r>
      <w:r w:rsidRPr="00F97F1A">
        <w:rPr>
          <w:rStyle w:val="FootnotetextChar0"/>
        </w:rPr>
        <w:t xml:space="preserve"> </w:t>
      </w:r>
    </w:p>
  </w:footnote>
  <w:footnote w:id="24">
    <w:p w14:paraId="17153C81" w14:textId="77777777" w:rsidR="00090872" w:rsidRDefault="00204DB9">
      <w:pPr>
        <w:pStyle w:val="FootnoteText"/>
      </w:pPr>
      <w:r>
        <w:rPr>
          <w:rStyle w:val="FootnoteReference"/>
        </w:rPr>
        <w:footnoteRef/>
      </w:r>
      <w:r>
        <w:t xml:space="preserve"> </w:t>
      </w:r>
      <w:r>
        <w:tab/>
      </w:r>
      <w:r w:rsidRPr="00204DB9">
        <w:rPr>
          <w:i/>
          <w:iCs/>
        </w:rPr>
        <w:t>See</w:t>
      </w:r>
      <w:r>
        <w:t xml:space="preserve"> </w:t>
      </w:r>
      <w:r w:rsidRPr="004629C7">
        <w:t>https://benefitcorp.net/policymakers/state-by-state-status</w:t>
      </w:r>
      <w:r>
        <w:t>.</w:t>
      </w:r>
    </w:p>
    <w:p w14:paraId="5EB3DE73" w14:textId="69F5D5BA" w:rsidR="00204DB9" w:rsidRDefault="00204DB9">
      <w:pPr>
        <w:pStyle w:val="FootnoteText"/>
      </w:pPr>
      <w:r>
        <w:t xml:space="preserve"> </w:t>
      </w:r>
    </w:p>
  </w:footnote>
  <w:footnote w:id="25">
    <w:p w14:paraId="01A3BA8D" w14:textId="2084CC8B" w:rsidR="001A017C" w:rsidRDefault="001A017C">
      <w:pPr>
        <w:pStyle w:val="FootnoteText"/>
      </w:pPr>
      <w:r>
        <w:rPr>
          <w:rStyle w:val="FootnoteReference"/>
        </w:rPr>
        <w:footnoteRef/>
      </w:r>
      <w:r>
        <w:t xml:space="preserve"> </w:t>
      </w:r>
      <w:r>
        <w:tab/>
      </w:r>
      <w:r w:rsidR="00C24DB5" w:rsidRPr="00C24DB5">
        <w:rPr>
          <w:szCs w:val="24"/>
          <w:bdr w:val="none" w:sz="0" w:space="0" w:color="auto" w:frame="1"/>
          <w:shd w:val="clear" w:color="auto" w:fill="FFFFFF"/>
        </w:rPr>
        <w:t>Belonick</w:t>
      </w:r>
      <w:r w:rsidR="00C24DB5">
        <w:rPr>
          <w:b/>
          <w:bCs/>
          <w:caps/>
          <w:szCs w:val="24"/>
          <w:bdr w:val="none" w:sz="0" w:space="0" w:color="auto" w:frame="1"/>
          <w:shd w:val="clear" w:color="auto" w:fill="FFFFFF"/>
        </w:rPr>
        <w:t>,</w:t>
      </w:r>
      <w:r w:rsidR="00C24DB5" w:rsidRPr="00C24DB5">
        <w:rPr>
          <w:b/>
          <w:bCs/>
          <w:caps/>
          <w:szCs w:val="24"/>
          <w:bdr w:val="none" w:sz="0" w:space="0" w:color="auto" w:frame="1"/>
          <w:shd w:val="clear" w:color="auto" w:fill="FFFFFF"/>
        </w:rPr>
        <w:t xml:space="preserve"> </w:t>
      </w:r>
      <w:r w:rsidR="00C24DB5" w:rsidRPr="00C24DB5">
        <w:rPr>
          <w:szCs w:val="24"/>
          <w:bdr w:val="none" w:sz="0" w:space="0" w:color="auto" w:frame="1"/>
          <w:shd w:val="clear" w:color="auto" w:fill="FFFFFF"/>
        </w:rPr>
        <w:t>Alexa</w:t>
      </w:r>
      <w:r w:rsidR="00C24DB5" w:rsidRPr="00C24DB5">
        <w:rPr>
          <w:b/>
          <w:bCs/>
          <w:caps/>
          <w:color w:val="0069AA"/>
          <w:szCs w:val="24"/>
          <w:shd w:val="clear" w:color="auto" w:fill="FFFFFF"/>
        </w:rPr>
        <w:t>,</w:t>
      </w:r>
      <w:r w:rsidR="00C24DB5">
        <w:rPr>
          <w:b/>
          <w:bCs/>
          <w:caps/>
          <w:color w:val="0069AA"/>
          <w:szCs w:val="24"/>
          <w:shd w:val="clear" w:color="auto" w:fill="FFFFFF"/>
        </w:rPr>
        <w:t xml:space="preserve"> </w:t>
      </w:r>
      <w:r w:rsidR="00C24DB5" w:rsidRPr="00C24DB5">
        <w:rPr>
          <w:szCs w:val="24"/>
          <w:bdr w:val="none" w:sz="0" w:space="0" w:color="auto" w:frame="1"/>
          <w:shd w:val="clear" w:color="auto" w:fill="FFFFFF"/>
        </w:rPr>
        <w:t>Susan H. Mac Cormac</w:t>
      </w:r>
      <w:r w:rsidR="00C24DB5" w:rsidRPr="00C24DB5">
        <w:rPr>
          <w:b/>
          <w:bCs/>
          <w:caps/>
          <w:szCs w:val="24"/>
          <w:bdr w:val="none" w:sz="0" w:space="0" w:color="auto" w:frame="1"/>
          <w:shd w:val="clear" w:color="auto" w:fill="FFFFFF"/>
        </w:rPr>
        <w:t xml:space="preserve"> </w:t>
      </w:r>
      <w:r w:rsidR="00C95AD4" w:rsidRPr="00C95AD4">
        <w:rPr>
          <w:szCs w:val="24"/>
          <w:bdr w:val="none" w:sz="0" w:space="0" w:color="auto" w:frame="1"/>
          <w:shd w:val="clear" w:color="auto" w:fill="FFFFFF"/>
        </w:rPr>
        <w:t>and</w:t>
      </w:r>
      <w:r w:rsidR="00C95AD4">
        <w:rPr>
          <w:b/>
          <w:bCs/>
          <w:szCs w:val="24"/>
          <w:bdr w:val="none" w:sz="0" w:space="0" w:color="auto" w:frame="1"/>
          <w:shd w:val="clear" w:color="auto" w:fill="FFFFFF"/>
        </w:rPr>
        <w:t xml:space="preserve"> </w:t>
      </w:r>
      <w:r w:rsidR="00C24DB5" w:rsidRPr="00C24DB5">
        <w:rPr>
          <w:szCs w:val="24"/>
          <w:bdr w:val="none" w:sz="0" w:space="0" w:color="auto" w:frame="1"/>
          <w:shd w:val="clear" w:color="auto" w:fill="FFFFFF"/>
        </w:rPr>
        <w:t>Alfredo B. D. Silva</w:t>
      </w:r>
      <w:r w:rsidR="00C24DB5" w:rsidRPr="00C24DB5">
        <w:rPr>
          <w:caps/>
          <w:szCs w:val="24"/>
        </w:rPr>
        <w:t>, “</w:t>
      </w:r>
      <w:r w:rsidR="00C24DB5" w:rsidRPr="00C24DB5">
        <w:rPr>
          <w:color w:val="232323"/>
          <w:szCs w:val="24"/>
        </w:rPr>
        <w:t>Morrison &amp; Foerster Discusses Publicly Traded Public Benefit Corporations</w:t>
      </w:r>
      <w:r w:rsidR="00C24DB5" w:rsidRPr="00C24DB5">
        <w:rPr>
          <w:caps/>
          <w:color w:val="232323"/>
          <w:szCs w:val="24"/>
        </w:rPr>
        <w:t xml:space="preserve">”, </w:t>
      </w:r>
      <w:r w:rsidR="00C24DB5" w:rsidRPr="00C24DB5">
        <w:rPr>
          <w:i/>
          <w:iCs/>
          <w:color w:val="232323"/>
          <w:szCs w:val="24"/>
        </w:rPr>
        <w:t>The C</w:t>
      </w:r>
      <w:r w:rsidR="00C24DB5">
        <w:rPr>
          <w:i/>
          <w:iCs/>
          <w:color w:val="232323"/>
          <w:szCs w:val="24"/>
        </w:rPr>
        <w:t>LS</w:t>
      </w:r>
      <w:r w:rsidR="00C24DB5" w:rsidRPr="00C24DB5">
        <w:rPr>
          <w:i/>
          <w:iCs/>
          <w:color w:val="232323"/>
          <w:szCs w:val="24"/>
        </w:rPr>
        <w:t xml:space="preserve"> Blue Sky Blog</w:t>
      </w:r>
      <w:r w:rsidR="00C24DB5" w:rsidRPr="00C24DB5">
        <w:rPr>
          <w:color w:val="232323"/>
          <w:szCs w:val="24"/>
        </w:rPr>
        <w:t xml:space="preserve"> (Sept. 16, 2020) (</w:t>
      </w:r>
      <w:r w:rsidR="004F2309">
        <w:rPr>
          <w:color w:val="232323"/>
          <w:szCs w:val="24"/>
        </w:rPr>
        <w:t>a</w:t>
      </w:r>
      <w:r w:rsidR="00C24DB5" w:rsidRPr="00C24DB5">
        <w:rPr>
          <w:color w:val="232323"/>
          <w:szCs w:val="24"/>
        </w:rPr>
        <w:t xml:space="preserve">t </w:t>
      </w:r>
      <w:r w:rsidR="00C24DB5" w:rsidRPr="004629C7">
        <w:rPr>
          <w:szCs w:val="24"/>
        </w:rPr>
        <w:t>https://clsbluesky.law.columbia.edu/2020/09/16/morrison-foerster-discusses-publicly-traded-public-benefit-corporations</w:t>
      </w:r>
      <w:r w:rsidR="00C24DB5">
        <w:rPr>
          <w:color w:val="232323"/>
          <w:szCs w:val="24"/>
        </w:rPr>
        <w:t>)</w:t>
      </w:r>
      <w:r w:rsidR="00671C59">
        <w:rPr>
          <w:color w:val="232323"/>
          <w:szCs w:val="24"/>
        </w:rPr>
        <w:t>;</w:t>
      </w:r>
      <w:r w:rsidR="00C24DB5">
        <w:rPr>
          <w:color w:val="232323"/>
          <w:szCs w:val="24"/>
        </w:rPr>
        <w:t xml:space="preserve"> and </w:t>
      </w:r>
      <w:r w:rsidR="00C24DB5" w:rsidRPr="00C24DB5">
        <w:rPr>
          <w:color w:val="232323"/>
          <w:szCs w:val="24"/>
        </w:rPr>
        <w:t>/</w:t>
      </w:r>
      <w:r>
        <w:t xml:space="preserve">Kennedy, Ellen, “What Are Public Benefit Corporations (PBCs)”, </w:t>
      </w:r>
      <w:r w:rsidRPr="001A017C">
        <w:rPr>
          <w:i/>
          <w:iCs/>
        </w:rPr>
        <w:t>Kiplinger</w:t>
      </w:r>
      <w:r>
        <w:t xml:space="preserve"> (Oct. 15, 2021) (at </w:t>
      </w:r>
      <w:r w:rsidR="00671C59" w:rsidRPr="004629C7">
        <w:t>https://www.kiplinger.com/investing/ esg/603598/what-are-public-benefit-corporations-pbcs</w:t>
      </w:r>
      <w:r>
        <w:t>)</w:t>
      </w:r>
      <w:r w:rsidR="00671C59">
        <w:t>.</w:t>
      </w:r>
      <w:r>
        <w:t xml:space="preserve"> </w:t>
      </w:r>
    </w:p>
  </w:footnote>
  <w:footnote w:id="26">
    <w:p w14:paraId="6AF9E6D5" w14:textId="2C3A1EC1" w:rsidR="0011131D" w:rsidRDefault="0011131D">
      <w:pPr>
        <w:pStyle w:val="FootnoteText"/>
      </w:pPr>
      <w:r>
        <w:rPr>
          <w:rStyle w:val="FootnoteReference"/>
        </w:rPr>
        <w:footnoteRef/>
      </w:r>
      <w:r>
        <w:t xml:space="preserve"> </w:t>
      </w:r>
      <w:r>
        <w:tab/>
      </w:r>
      <w:r>
        <w:rPr>
          <w:shd w:val="clear" w:color="auto" w:fill="FAFAFA"/>
        </w:rPr>
        <w:t xml:space="preserve">Driebusch, Corrie, “For Allbirds, Warby Parker, Other Fall IPOs, Greed Is Out. Do-Gooding Is In”, </w:t>
      </w:r>
      <w:r w:rsidRPr="0011131D">
        <w:rPr>
          <w:i/>
          <w:iCs/>
          <w:shd w:val="clear" w:color="auto" w:fill="FAFAFA"/>
        </w:rPr>
        <w:t>W</w:t>
      </w:r>
      <w:r>
        <w:rPr>
          <w:i/>
          <w:iCs/>
          <w:shd w:val="clear" w:color="auto" w:fill="FAFAFA"/>
        </w:rPr>
        <w:t>all St. Jour.</w:t>
      </w:r>
      <w:r>
        <w:rPr>
          <w:shd w:val="clear" w:color="auto" w:fill="FAFAFA"/>
        </w:rPr>
        <w:t xml:space="preserve"> (Se</w:t>
      </w:r>
      <w:r w:rsidRPr="0011131D">
        <w:t>pt</w:t>
      </w:r>
      <w:r w:rsidR="001D6944">
        <w:t>.</w:t>
      </w:r>
      <w:r w:rsidRPr="0011131D">
        <w:t xml:space="preserve"> 8,</w:t>
      </w:r>
      <w:r>
        <w:t xml:space="preserve"> </w:t>
      </w:r>
      <w:r w:rsidRPr="0011131D">
        <w:t>2021).  Driebusch writes “Forget Gordon Gekko. The hottest companies launching IPOs are branding themselves as do-gooders.”</w:t>
      </w:r>
    </w:p>
  </w:footnote>
  <w:footnote w:id="27">
    <w:p w14:paraId="3D442C9B" w14:textId="27AB3986" w:rsidR="00361D52" w:rsidRDefault="00361D52">
      <w:pPr>
        <w:pStyle w:val="FootnoteText"/>
      </w:pPr>
      <w:r>
        <w:rPr>
          <w:rStyle w:val="FootnoteReference"/>
        </w:rPr>
        <w:footnoteRef/>
      </w:r>
      <w:r>
        <w:t xml:space="preserve"> </w:t>
      </w:r>
      <w:r>
        <w:tab/>
      </w:r>
      <w:r w:rsidRPr="00361D52">
        <w:rPr>
          <w:i/>
          <w:iCs/>
        </w:rPr>
        <w:t>Id</w:t>
      </w:r>
      <w:r>
        <w:t xml:space="preserve">. </w:t>
      </w:r>
    </w:p>
  </w:footnote>
  <w:footnote w:id="28">
    <w:p w14:paraId="2FB48075" w14:textId="476C1B67" w:rsidR="009E3419" w:rsidRPr="004D27F6" w:rsidRDefault="009E3419" w:rsidP="009E3419">
      <w:pPr>
        <w:pStyle w:val="Footnote"/>
      </w:pPr>
      <w:r w:rsidRPr="004D27F6">
        <w:rPr>
          <w:rStyle w:val="FootnoteReference"/>
          <w:position w:val="0"/>
          <w:sz w:val="20"/>
        </w:rPr>
        <w:footnoteRef/>
      </w:r>
      <w:r w:rsidRPr="004D27F6">
        <w:t xml:space="preserve"> </w:t>
      </w:r>
      <w:r w:rsidRPr="004D27F6">
        <w:tab/>
      </w:r>
      <w:r w:rsidR="001D6944">
        <w:t xml:space="preserve">On </w:t>
      </w:r>
      <w:r w:rsidRPr="004D27F6">
        <w:t xml:space="preserve">January 1, 2021, Congress </w:t>
      </w:r>
      <w:r>
        <w:t xml:space="preserve">passed the Corporate Transparency act as part of the </w:t>
      </w:r>
      <w:r w:rsidRPr="004D27F6">
        <w:t>Anti-Money Laundering Act of 2020 (“</w:t>
      </w:r>
      <w:r w:rsidRPr="0053115C">
        <w:rPr>
          <w:i/>
          <w:iCs/>
        </w:rPr>
        <w:t>AMLA</w:t>
      </w:r>
      <w:r w:rsidRPr="004D27F6">
        <w:t>”),</w:t>
      </w:r>
      <w:r>
        <w:t xml:space="preserve"> which was included within the </w:t>
      </w:r>
      <w:r w:rsidRPr="004D27F6">
        <w:t>National Defense Authorization Act of 2021 (“</w:t>
      </w:r>
      <w:r w:rsidRPr="0053115C">
        <w:rPr>
          <w:i/>
          <w:iCs/>
        </w:rPr>
        <w:t>NDAA</w:t>
      </w:r>
      <w:r w:rsidRPr="004D27F6">
        <w:t>”)</w:t>
      </w:r>
      <w:r w:rsidR="008E3B8A">
        <w:t xml:space="preserve">; codified at 31 U.S.C. </w:t>
      </w:r>
      <w:r w:rsidR="008E3B8A">
        <w:rPr>
          <w:rFonts w:cs="Times New Roman"/>
        </w:rPr>
        <w:t>§</w:t>
      </w:r>
      <w:r w:rsidR="008E3B8A">
        <w:t>5336</w:t>
      </w:r>
      <w:r w:rsidRPr="004D27F6">
        <w:t xml:space="preserve">. </w:t>
      </w:r>
    </w:p>
  </w:footnote>
  <w:footnote w:id="29">
    <w:p w14:paraId="3029289F" w14:textId="40D07F92" w:rsidR="00E321B5" w:rsidRDefault="00E321B5">
      <w:pPr>
        <w:pStyle w:val="FootnoteText"/>
      </w:pPr>
      <w:r>
        <w:rPr>
          <w:rStyle w:val="FootnoteReference"/>
        </w:rPr>
        <w:footnoteRef/>
      </w:r>
      <w:r>
        <w:t xml:space="preserve"> </w:t>
      </w:r>
      <w:r>
        <w:tab/>
      </w:r>
      <w:r w:rsidR="003B203A" w:rsidRPr="003B203A">
        <w:t xml:space="preserve">Office of Representative Carolyn Maloney, Press Release, </w:t>
      </w:r>
      <w:r w:rsidR="003B203A">
        <w:t>“</w:t>
      </w:r>
      <w:r w:rsidR="003B203A" w:rsidRPr="003B203A">
        <w:t>Maloney Celebrates Inclusion of Corporate Transparency Act in FY2021 NOAA</w:t>
      </w:r>
      <w:r w:rsidR="003B203A">
        <w:t>”</w:t>
      </w:r>
      <w:r w:rsidR="003B203A" w:rsidRPr="003B203A">
        <w:t xml:space="preserve"> (Nov. 19, 2020)</w:t>
      </w:r>
      <w:r w:rsidR="003B203A">
        <w:t>.</w:t>
      </w:r>
    </w:p>
  </w:footnote>
  <w:footnote w:id="30">
    <w:p w14:paraId="4A630291" w14:textId="77777777" w:rsidR="00090872" w:rsidRDefault="00A6494B">
      <w:pPr>
        <w:pStyle w:val="FootnoteText"/>
      </w:pPr>
      <w:r>
        <w:rPr>
          <w:rStyle w:val="FootnoteReference"/>
        </w:rPr>
        <w:footnoteRef/>
      </w:r>
      <w:r>
        <w:t xml:space="preserve"> </w:t>
      </w:r>
      <w:r>
        <w:tab/>
        <w:t>The CTA clearly covers corporations and LLCs and does not cover general partnerships.  It is unclear whether it cover limited partnerships, unincorporated associations, business trusts or non-U.S. entities that resemble corporations and LLCs.  This scope will presumably be defined by regulation.</w:t>
      </w:r>
    </w:p>
    <w:p w14:paraId="543FFCDA" w14:textId="24BEE4FA" w:rsidR="00A6494B" w:rsidRDefault="00A6494B">
      <w:pPr>
        <w:pStyle w:val="FootnoteText"/>
      </w:pPr>
      <w:r>
        <w:t xml:space="preserve"> </w:t>
      </w:r>
    </w:p>
  </w:footnote>
  <w:footnote w:id="31">
    <w:p w14:paraId="17ADE651" w14:textId="77777777" w:rsidR="00090872" w:rsidRDefault="00B97190">
      <w:pPr>
        <w:pStyle w:val="FootnoteText"/>
      </w:pPr>
      <w:r>
        <w:rPr>
          <w:rStyle w:val="FootnoteReference"/>
        </w:rPr>
        <w:footnoteRef/>
      </w:r>
      <w:r>
        <w:t xml:space="preserve"> </w:t>
      </w:r>
      <w:r>
        <w:tab/>
      </w:r>
      <w:r w:rsidR="007C6D1B">
        <w:t xml:space="preserve">31 U.S.C. </w:t>
      </w:r>
      <w:r w:rsidR="007C6D1B">
        <w:rPr>
          <w:rFonts w:cs="Times New Roman"/>
        </w:rPr>
        <w:t>§</w:t>
      </w:r>
      <w:r w:rsidR="007C6D1B">
        <w:t>5336(</w:t>
      </w:r>
      <w:r w:rsidR="00903BCB">
        <w:t>a</w:t>
      </w:r>
      <w:r w:rsidR="007C6D1B">
        <w:t>)(</w:t>
      </w:r>
      <w:r w:rsidR="00903BCB">
        <w:t>11</w:t>
      </w:r>
      <w:r w:rsidR="007C6D1B">
        <w:t>)</w:t>
      </w:r>
      <w:r w:rsidR="00903BCB">
        <w:t>(B).</w:t>
      </w:r>
      <w:r w:rsidR="00007E3A">
        <w:t xml:space="preserve">  Note that the last exemption applies to operating companies and would not apply to newly formed entities.</w:t>
      </w:r>
    </w:p>
    <w:p w14:paraId="009DF4AE" w14:textId="536653E9" w:rsidR="00B97190" w:rsidRDefault="00007E3A">
      <w:pPr>
        <w:pStyle w:val="FootnoteText"/>
      </w:pPr>
      <w:r>
        <w:t xml:space="preserve"> </w:t>
      </w:r>
    </w:p>
  </w:footnote>
  <w:footnote w:id="32">
    <w:p w14:paraId="3A1D9188" w14:textId="22104017" w:rsidR="00E52AEB" w:rsidRDefault="00E52AEB">
      <w:pPr>
        <w:pStyle w:val="FootnoteText"/>
      </w:pPr>
      <w:r>
        <w:rPr>
          <w:rStyle w:val="FootnoteReference"/>
        </w:rPr>
        <w:footnoteRef/>
      </w:r>
      <w:r>
        <w:t xml:space="preserve"> </w:t>
      </w:r>
      <w:r>
        <w:tab/>
        <w:t>F</w:t>
      </w:r>
      <w:r w:rsidRPr="00E52AEB">
        <w:t>inancial institutions are required to identify and verify beneficial owners through the Bank Secrecy Act</w:t>
      </w:r>
      <w:r>
        <w:t>’</w:t>
      </w:r>
      <w:r w:rsidRPr="00E52AEB">
        <w:t>s customer due diligence requirements.</w:t>
      </w:r>
    </w:p>
  </w:footnote>
  <w:footnote w:id="33">
    <w:p w14:paraId="19DAD1AA" w14:textId="77EE5870" w:rsidR="00B97190" w:rsidRDefault="00B97190">
      <w:pPr>
        <w:pStyle w:val="FootnoteText"/>
      </w:pPr>
      <w:r>
        <w:rPr>
          <w:rStyle w:val="FootnoteReference"/>
        </w:rPr>
        <w:footnoteRef/>
      </w:r>
      <w:r>
        <w:t xml:space="preserve"> </w:t>
      </w:r>
      <w:r>
        <w:tab/>
      </w:r>
      <w:r w:rsidR="009A77A5" w:rsidRPr="009A77A5">
        <w:rPr>
          <w:i/>
          <w:iCs/>
        </w:rPr>
        <w:t xml:space="preserve">Supra </w:t>
      </w:r>
      <w:r w:rsidR="009A77A5" w:rsidRPr="001D6944">
        <w:t>at</w:t>
      </w:r>
      <w:r w:rsidR="009A77A5">
        <w:t xml:space="preserve"> </w:t>
      </w:r>
      <w:r>
        <w:rPr>
          <w:rFonts w:cs="Times New Roman"/>
        </w:rPr>
        <w:t>§</w:t>
      </w:r>
      <w:r>
        <w:t>5336(c)(2).</w:t>
      </w:r>
    </w:p>
  </w:footnote>
  <w:footnote w:id="34">
    <w:p w14:paraId="3DEA3A8D" w14:textId="76C45D4C" w:rsidR="001D1259" w:rsidRDefault="001D1259">
      <w:pPr>
        <w:pStyle w:val="FootnoteText"/>
      </w:pPr>
      <w:r>
        <w:rPr>
          <w:rStyle w:val="FootnoteReference"/>
        </w:rPr>
        <w:footnoteRef/>
      </w:r>
      <w:r>
        <w:t xml:space="preserve"> </w:t>
      </w:r>
      <w:r>
        <w:tab/>
      </w:r>
      <w:r w:rsidR="006E16ED">
        <w:t>Determining 25% or more of the ownership interest is relatively easy with a single class of interest.  For entities with multiple classes of interest</w:t>
      </w:r>
      <w:r w:rsidR="005C3C81">
        <w:t>s</w:t>
      </w:r>
      <w:r w:rsidR="006E16ED">
        <w:t xml:space="preserve">, distribution preferences and varying voting and consent provisions, the determination is more difficult. </w:t>
      </w:r>
    </w:p>
  </w:footnote>
  <w:footnote w:id="35">
    <w:p w14:paraId="0FE1B7AF" w14:textId="6804E0FA" w:rsidR="00B41FC1" w:rsidRDefault="00B41FC1">
      <w:pPr>
        <w:pStyle w:val="FootnoteText"/>
      </w:pPr>
      <w:r>
        <w:rPr>
          <w:rStyle w:val="FootnoteReference"/>
        </w:rPr>
        <w:footnoteRef/>
      </w:r>
      <w:r>
        <w:t xml:space="preserve"> </w:t>
      </w:r>
      <w:r>
        <w:tab/>
      </w:r>
      <w:r w:rsidR="009A77A5" w:rsidRPr="009A77A5">
        <w:rPr>
          <w:i/>
          <w:iCs/>
        </w:rPr>
        <w:t>Supra</w:t>
      </w:r>
      <w:r w:rsidR="009A77A5">
        <w:t xml:space="preserve"> at </w:t>
      </w:r>
      <w:r>
        <w:rPr>
          <w:rFonts w:cs="Times New Roman"/>
        </w:rPr>
        <w:t>§</w:t>
      </w:r>
      <w:r>
        <w:t>5336(a)(3).</w:t>
      </w:r>
    </w:p>
  </w:footnote>
  <w:footnote w:id="36">
    <w:p w14:paraId="38C672C7" w14:textId="77777777" w:rsidR="00090872" w:rsidRDefault="0035208F">
      <w:pPr>
        <w:pStyle w:val="FootnoteText"/>
      </w:pPr>
      <w:r>
        <w:rPr>
          <w:rStyle w:val="FootnoteReference"/>
        </w:rPr>
        <w:footnoteRef/>
      </w:r>
      <w:r>
        <w:t xml:space="preserve"> </w:t>
      </w:r>
      <w:r>
        <w:tab/>
        <w:t xml:space="preserve">Filing reports for all active companies formed before 2022 is an enormous undertaking.  The sheer volume is daunting, and many older companies may struggle to assemble the required information, such as personal identification information about an applicant (see </w:t>
      </w:r>
      <w:r w:rsidR="00811A21">
        <w:t xml:space="preserve">fn. 38 </w:t>
      </w:r>
      <w:r>
        <w:t>below).</w:t>
      </w:r>
    </w:p>
    <w:p w14:paraId="3A3D3781" w14:textId="05696EA5" w:rsidR="0035208F" w:rsidRDefault="0035208F">
      <w:pPr>
        <w:pStyle w:val="FootnoteText"/>
      </w:pPr>
      <w:r>
        <w:t xml:space="preserve"> </w:t>
      </w:r>
    </w:p>
  </w:footnote>
  <w:footnote w:id="37">
    <w:p w14:paraId="7E8E8184" w14:textId="76995F6C" w:rsidR="001D1259" w:rsidRDefault="001D1259">
      <w:pPr>
        <w:pStyle w:val="FootnoteText"/>
      </w:pPr>
      <w:r>
        <w:rPr>
          <w:rStyle w:val="FootnoteReference"/>
        </w:rPr>
        <w:footnoteRef/>
      </w:r>
      <w:r>
        <w:t xml:space="preserve"> </w:t>
      </w:r>
      <w:r>
        <w:tab/>
      </w:r>
      <w:r w:rsidR="00624230" w:rsidRPr="009A77A5">
        <w:rPr>
          <w:i/>
          <w:iCs/>
        </w:rPr>
        <w:t>Supra</w:t>
      </w:r>
      <w:r w:rsidR="009A77A5">
        <w:t xml:space="preserve"> at </w:t>
      </w:r>
      <w:r>
        <w:rPr>
          <w:rFonts w:cs="Times New Roman"/>
        </w:rPr>
        <w:t>§</w:t>
      </w:r>
      <w:r>
        <w:t>5336(h)(3)(A).</w:t>
      </w:r>
    </w:p>
  </w:footnote>
  <w:footnote w:id="38">
    <w:p w14:paraId="73366678" w14:textId="77777777" w:rsidR="00090872" w:rsidRDefault="009A77A5">
      <w:pPr>
        <w:pStyle w:val="FootnoteText"/>
      </w:pPr>
      <w:r>
        <w:rPr>
          <w:rStyle w:val="FootnoteReference"/>
        </w:rPr>
        <w:footnoteRef/>
      </w:r>
      <w:r>
        <w:t xml:space="preserve"> </w:t>
      </w:r>
      <w:r>
        <w:tab/>
        <w:t xml:space="preserve">The regulations </w:t>
      </w:r>
      <w:r w:rsidR="00811A21">
        <w:t>may</w:t>
      </w:r>
      <w:r>
        <w:t xml:space="preserve"> define “applicant”</w:t>
      </w:r>
      <w:r w:rsidR="00811A21" w:rsidRPr="00811A21">
        <w:t xml:space="preserve"> </w:t>
      </w:r>
      <w:r w:rsidR="00811A21">
        <w:t>better</w:t>
      </w:r>
      <w:r>
        <w:t xml:space="preserve">.  One may argue that an applicant is the individual on whose behalf the filing is made and not the attorney (or paralegal) that drafted the constituent documents </w:t>
      </w:r>
      <w:r w:rsidR="00E969F5">
        <w:t xml:space="preserve">and </w:t>
      </w:r>
      <w:r>
        <w:t xml:space="preserve">made the filing.  </w:t>
      </w:r>
      <w:r w:rsidR="0035208F">
        <w:t xml:space="preserve">It is also unclear whether an applicant includes corporate service companies, which facilitate </w:t>
      </w:r>
      <w:r w:rsidR="00007E3A">
        <w:t>many Secretary of State filings.</w:t>
      </w:r>
    </w:p>
    <w:p w14:paraId="02733E43" w14:textId="302E1708" w:rsidR="009A77A5" w:rsidRDefault="00007E3A">
      <w:pPr>
        <w:pStyle w:val="FootnoteText"/>
      </w:pPr>
      <w:r>
        <w:t xml:space="preserve"> </w:t>
      </w:r>
    </w:p>
  </w:footnote>
  <w:footnote w:id="39">
    <w:p w14:paraId="0BC48283" w14:textId="27889AC8" w:rsidR="007325DF" w:rsidRDefault="007325DF" w:rsidP="007325DF">
      <w:pPr>
        <w:pStyle w:val="FootnoteText"/>
      </w:pPr>
      <w:r>
        <w:rPr>
          <w:rStyle w:val="FootnoteReference"/>
        </w:rPr>
        <w:footnoteRef/>
      </w:r>
      <w:r>
        <w:t xml:space="preserve"> </w:t>
      </w:r>
      <w:r>
        <w:tab/>
      </w:r>
      <w:r w:rsidR="009A77A5">
        <w:rPr>
          <w:i/>
          <w:iCs/>
        </w:rPr>
        <w:t>Supra</w:t>
      </w:r>
      <w:r w:rsidR="009A77A5">
        <w:t xml:space="preserve"> at</w:t>
      </w:r>
      <w:r>
        <w:t xml:space="preserve"> </w:t>
      </w:r>
      <w:r>
        <w:rPr>
          <w:rFonts w:cs="Times New Roman"/>
        </w:rPr>
        <w:t>§</w:t>
      </w:r>
      <w:r>
        <w:t>5336(b)(2)(A).</w:t>
      </w:r>
      <w:r w:rsidR="00D318A7">
        <w:t xml:space="preserve">  An </w:t>
      </w:r>
      <w:r w:rsidR="00D318A7" w:rsidRPr="00D566C8">
        <w:rPr>
          <w:rFonts w:cs="Times New Roman"/>
          <w:szCs w:val="24"/>
          <w:shd w:val="clear" w:color="auto" w:fill="FFFFFF"/>
        </w:rPr>
        <w:t>applicant</w:t>
      </w:r>
      <w:r w:rsidR="00D318A7">
        <w:rPr>
          <w:rFonts w:cs="Times New Roman"/>
          <w:szCs w:val="24"/>
          <w:shd w:val="clear" w:color="auto" w:fill="FFFFFF"/>
        </w:rPr>
        <w:t xml:space="preserve"> is</w:t>
      </w:r>
      <w:r w:rsidR="00D318A7" w:rsidRPr="00D566C8">
        <w:rPr>
          <w:rFonts w:cs="Times New Roman"/>
          <w:szCs w:val="24"/>
          <w:shd w:val="clear" w:color="auto" w:fill="FFFFFF"/>
        </w:rPr>
        <w:t xml:space="preserve"> </w:t>
      </w:r>
      <w:r w:rsidR="00D318A7" w:rsidRPr="00D566C8">
        <w:rPr>
          <w:rFonts w:eastAsia="Times New Roman"/>
          <w:szCs w:val="24"/>
        </w:rPr>
        <w:t>“any individual who files an application to form a corporation, limited liability company or similar entity under the laws of a State or Indian Tribe.”</w:t>
      </w:r>
    </w:p>
  </w:footnote>
  <w:footnote w:id="40">
    <w:p w14:paraId="51B58388" w14:textId="77777777" w:rsidR="0017391A" w:rsidRDefault="0017391A" w:rsidP="0017391A">
      <w:pPr>
        <w:pStyle w:val="FootnoteText"/>
      </w:pPr>
      <w:r>
        <w:rPr>
          <w:rStyle w:val="FootnoteReference"/>
        </w:rPr>
        <w:footnoteRef/>
      </w:r>
      <w:r>
        <w:t xml:space="preserve"> </w:t>
      </w:r>
      <w:r>
        <w:tab/>
      </w:r>
      <w:r w:rsidRPr="005956CD">
        <w:rPr>
          <w:i/>
          <w:iCs/>
        </w:rPr>
        <w:t>In re Caremark International Inc. Derivative Litigation</w:t>
      </w:r>
      <w:r>
        <w:t xml:space="preserve">, </w:t>
      </w:r>
      <w:r w:rsidRPr="00F463EA">
        <w:t>698 A.2d 959 (Del. Ch. 1996)</w:t>
      </w:r>
      <w:r>
        <w:t xml:space="preserve"> (“</w:t>
      </w:r>
      <w:r w:rsidRPr="00A26C8B">
        <w:t>a director</w:t>
      </w:r>
      <w:r>
        <w:t>’</w:t>
      </w:r>
      <w:r w:rsidRPr="00A26C8B">
        <w:t>s obligation includes a duty to attempt in good faith to assure that a corporate information and reporting system, which the board concludes is adequate, exists, and that failure to do so under some circumstances may . . . render a director liable</w:t>
      </w:r>
      <w:r>
        <w:t>”)</w:t>
      </w:r>
      <w:r w:rsidRPr="00F463EA">
        <w:t>.</w:t>
      </w:r>
    </w:p>
  </w:footnote>
  <w:footnote w:id="41">
    <w:p w14:paraId="3B83D099" w14:textId="77777777" w:rsidR="0017391A" w:rsidRDefault="0017391A" w:rsidP="0017391A">
      <w:pPr>
        <w:pStyle w:val="FootnoteText"/>
      </w:pPr>
      <w:r>
        <w:rPr>
          <w:rStyle w:val="FootnoteReference"/>
        </w:rPr>
        <w:footnoteRef/>
      </w:r>
      <w:r>
        <w:t xml:space="preserve"> </w:t>
      </w:r>
      <w:r>
        <w:tab/>
      </w:r>
      <w:r w:rsidRPr="00C85C5C">
        <w:rPr>
          <w:i/>
          <w:iCs/>
        </w:rPr>
        <w:t>See</w:t>
      </w:r>
      <w:r>
        <w:t xml:space="preserve"> Derrick, Gary W., “Recent Developments in Oklahoma Business and Corporate Law – 2019”, </w:t>
      </w:r>
      <w:r w:rsidRPr="0041187B">
        <w:t>OBA 201</w:t>
      </w:r>
      <w:r>
        <w:t>7</w:t>
      </w:r>
      <w:r w:rsidRPr="0041187B">
        <w:t xml:space="preserve"> Recent Developments (Day Two)</w:t>
      </w:r>
      <w:r>
        <w:t>.</w:t>
      </w:r>
    </w:p>
  </w:footnote>
  <w:footnote w:id="42">
    <w:p w14:paraId="33E4587C" w14:textId="66096D98" w:rsidR="00D35510" w:rsidRDefault="00D35510" w:rsidP="00D35510">
      <w:pPr>
        <w:pStyle w:val="FootnoteText"/>
      </w:pPr>
      <w:r>
        <w:rPr>
          <w:rStyle w:val="FootnoteReference"/>
        </w:rPr>
        <w:footnoteRef/>
      </w:r>
      <w:r>
        <w:t xml:space="preserve"> </w:t>
      </w:r>
      <w:r>
        <w:tab/>
        <w:t xml:space="preserve">Authored by </w:t>
      </w:r>
      <w:r w:rsidRPr="001F05FC">
        <w:t xml:space="preserve">Senator </w:t>
      </w:r>
      <w:r w:rsidR="00FD32F6">
        <w:t xml:space="preserve">John Michael </w:t>
      </w:r>
      <w:r w:rsidRPr="001F05FC">
        <w:t xml:space="preserve">Montgomery and Representative </w:t>
      </w:r>
      <w:r w:rsidR="00FD32F6">
        <w:t>Terry O’Donnell</w:t>
      </w:r>
      <w:r>
        <w:t>.</w:t>
      </w:r>
    </w:p>
  </w:footnote>
  <w:footnote w:id="43">
    <w:p w14:paraId="5A2355F3" w14:textId="09ED9E50" w:rsidR="00D35510" w:rsidRDefault="00D35510" w:rsidP="00D35510">
      <w:pPr>
        <w:pStyle w:val="FootnoteText"/>
      </w:pPr>
      <w:r>
        <w:rPr>
          <w:rStyle w:val="FootnoteReference"/>
        </w:rPr>
        <w:footnoteRef/>
      </w:r>
      <w:r>
        <w:t xml:space="preserve"> </w:t>
      </w:r>
      <w:r>
        <w:tab/>
        <w:t xml:space="preserve">18 O.S. </w:t>
      </w:r>
      <w:r>
        <w:rPr>
          <w:rFonts w:cs="Times New Roman"/>
        </w:rPr>
        <w:t>§§</w:t>
      </w:r>
      <w:r w:rsidRPr="003A18BD">
        <w:t>100</w:t>
      </w:r>
      <w:r>
        <w:t xml:space="preserve">1 </w:t>
      </w:r>
      <w:r w:rsidR="00E969F5" w:rsidRPr="00E969F5">
        <w:rPr>
          <w:i/>
          <w:iCs/>
        </w:rPr>
        <w:t>et seq</w:t>
      </w:r>
      <w:r w:rsidRPr="003A18BD">
        <w:t>.</w:t>
      </w:r>
    </w:p>
  </w:footnote>
  <w:footnote w:id="44">
    <w:p w14:paraId="18A5415E" w14:textId="7396D46C" w:rsidR="00D35510" w:rsidRDefault="00D35510" w:rsidP="00D35510">
      <w:pPr>
        <w:pStyle w:val="FootnoteText"/>
      </w:pPr>
      <w:r>
        <w:rPr>
          <w:rStyle w:val="FootnoteReference"/>
        </w:rPr>
        <w:footnoteRef/>
      </w:r>
      <w:r>
        <w:t xml:space="preserve"> </w:t>
      </w:r>
      <w:r>
        <w:tab/>
      </w:r>
      <w:r w:rsidRPr="00737490">
        <w:rPr>
          <w:i/>
          <w:iCs/>
        </w:rPr>
        <w:t>Id</w:t>
      </w:r>
      <w:r>
        <w:t xml:space="preserve">., </w:t>
      </w:r>
      <w:r>
        <w:rPr>
          <w:rFonts w:cs="Times New Roman"/>
        </w:rPr>
        <w:t>§§2</w:t>
      </w:r>
      <w:r w:rsidRPr="003A18BD">
        <w:t>00</w:t>
      </w:r>
      <w:r>
        <w:t xml:space="preserve">0 </w:t>
      </w:r>
      <w:r w:rsidR="00E969F5" w:rsidRPr="00E969F5">
        <w:rPr>
          <w:i/>
          <w:iCs/>
        </w:rPr>
        <w:t>et seq</w:t>
      </w:r>
      <w:r>
        <w:t>.</w:t>
      </w:r>
    </w:p>
  </w:footnote>
  <w:footnote w:id="45">
    <w:p w14:paraId="1A42B819" w14:textId="62019EF5" w:rsidR="00772915" w:rsidRDefault="00772915">
      <w:pPr>
        <w:pStyle w:val="FootnoteText"/>
      </w:pPr>
      <w:r>
        <w:rPr>
          <w:rStyle w:val="FootnoteReference"/>
        </w:rPr>
        <w:footnoteRef/>
      </w:r>
      <w:r>
        <w:t xml:space="preserve"> </w:t>
      </w:r>
      <w:r>
        <w:tab/>
        <w:t xml:space="preserve">54 O.S. </w:t>
      </w:r>
      <w:r>
        <w:rPr>
          <w:rFonts w:cs="Times New Roman"/>
        </w:rPr>
        <w:t>§§500-101A</w:t>
      </w:r>
      <w:r>
        <w:t xml:space="preserve"> </w:t>
      </w:r>
      <w:r w:rsidR="00E969F5" w:rsidRPr="00E969F5">
        <w:rPr>
          <w:i/>
          <w:iCs/>
        </w:rPr>
        <w:t>et seq</w:t>
      </w:r>
      <w:r>
        <w:t>.</w:t>
      </w:r>
    </w:p>
  </w:footnote>
  <w:footnote w:id="46">
    <w:p w14:paraId="0274FFE7" w14:textId="03D789BF" w:rsidR="009B0BE2" w:rsidRDefault="009B0BE2" w:rsidP="009B0BE2">
      <w:pPr>
        <w:pStyle w:val="FootnoteText"/>
      </w:pPr>
      <w:r>
        <w:rPr>
          <w:rStyle w:val="FootnoteReference"/>
        </w:rPr>
        <w:footnoteRef/>
      </w:r>
      <w:r>
        <w:t xml:space="preserve"> </w:t>
      </w:r>
      <w:r>
        <w:tab/>
        <w:t>Since 2001, the OGCA has authorize</w:t>
      </w:r>
      <w:r w:rsidR="00A935D0">
        <w:t>d</w:t>
      </w:r>
      <w:r>
        <w:t xml:space="preserve"> electronic notices and virtual shareholder and director meetings.  The authorization</w:t>
      </w:r>
      <w:r w:rsidR="003E4953">
        <w:t xml:space="preserve">s were </w:t>
      </w:r>
      <w:r>
        <w:t xml:space="preserve">critical in 2020, when corporations turned to virtual meetings in the face of the </w:t>
      </w:r>
      <w:r w:rsidR="00A935D0">
        <w:t xml:space="preserve">COVID -19 </w:t>
      </w:r>
      <w:r>
        <w:t xml:space="preserve">pandemic. </w:t>
      </w:r>
    </w:p>
  </w:footnote>
  <w:footnote w:id="47">
    <w:p w14:paraId="74AEE39E" w14:textId="4606AD39" w:rsidR="00ED3C6F" w:rsidRDefault="00ED3C6F">
      <w:pPr>
        <w:pStyle w:val="FootnoteText"/>
      </w:pPr>
      <w:r>
        <w:rPr>
          <w:rStyle w:val="FootnoteReference"/>
        </w:rPr>
        <w:footnoteRef/>
      </w:r>
      <w:r>
        <w:t xml:space="preserve"> </w:t>
      </w:r>
      <w:r>
        <w:tab/>
      </w:r>
      <w:r w:rsidRPr="00FC02E6">
        <w:rPr>
          <w:rFonts w:eastAsiaTheme="minorHAnsi"/>
        </w:rPr>
        <w:t xml:space="preserve">The </w:t>
      </w:r>
      <w:r>
        <w:rPr>
          <w:rFonts w:eastAsiaTheme="minorHAnsi"/>
        </w:rPr>
        <w:t xml:space="preserve">safe harbor is found in </w:t>
      </w:r>
      <w:r w:rsidR="002B6662">
        <w:rPr>
          <w:rFonts w:eastAsiaTheme="minorHAnsi"/>
        </w:rPr>
        <w:t xml:space="preserve">OGCA </w:t>
      </w:r>
      <w:r>
        <w:rPr>
          <w:rFonts w:eastAsiaTheme="minorHAnsi"/>
        </w:rPr>
        <w:t>Section 1014.3.A, which</w:t>
      </w:r>
      <w:r w:rsidRPr="00FC02E6">
        <w:rPr>
          <w:rFonts w:eastAsiaTheme="minorHAnsi"/>
        </w:rPr>
        <w:t xml:space="preserve"> is based on analogous provisions in</w:t>
      </w:r>
      <w:r>
        <w:rPr>
          <w:rFonts w:eastAsiaTheme="minorHAnsi"/>
        </w:rPr>
        <w:t xml:space="preserve"> Section 1075.2</w:t>
      </w:r>
      <w:r w:rsidR="00B368E1">
        <w:rPr>
          <w:rFonts w:eastAsiaTheme="minorHAnsi"/>
        </w:rPr>
        <w:t xml:space="preserve"> and</w:t>
      </w:r>
      <w:r w:rsidRPr="00FC02E6">
        <w:rPr>
          <w:rFonts w:eastAsiaTheme="minorHAnsi"/>
        </w:rPr>
        <w:t xml:space="preserve"> the </w:t>
      </w:r>
      <w:r>
        <w:rPr>
          <w:rFonts w:eastAsiaTheme="minorHAnsi"/>
        </w:rPr>
        <w:t>Oklahoma</w:t>
      </w:r>
      <w:r w:rsidRPr="00FC02E6">
        <w:rPr>
          <w:rFonts w:eastAsiaTheme="minorHAnsi"/>
        </w:rPr>
        <w:t xml:space="preserve"> Uniform Electronic Transactions Act (</w:t>
      </w:r>
      <w:r>
        <w:rPr>
          <w:rFonts w:eastAsiaTheme="minorHAnsi"/>
        </w:rPr>
        <w:t>Article 15 of Title 12A</w:t>
      </w:r>
      <w:r w:rsidRPr="00FC02E6">
        <w:rPr>
          <w:rFonts w:eastAsiaTheme="minorHAnsi"/>
        </w:rPr>
        <w:t>)</w:t>
      </w:r>
      <w:r>
        <w:rPr>
          <w:rFonts w:eastAsiaTheme="minorHAnsi"/>
        </w:rPr>
        <w:t>.</w:t>
      </w:r>
    </w:p>
  </w:footnote>
  <w:footnote w:id="48">
    <w:p w14:paraId="6D9BD9CD" w14:textId="16022B15" w:rsidR="00096B4C" w:rsidRDefault="00096B4C">
      <w:pPr>
        <w:pStyle w:val="FootnoteText"/>
      </w:pPr>
      <w:r>
        <w:rPr>
          <w:rStyle w:val="FootnoteReference"/>
        </w:rPr>
        <w:footnoteRef/>
      </w:r>
      <w:r>
        <w:t xml:space="preserve"> </w:t>
      </w:r>
      <w:r>
        <w:tab/>
      </w:r>
      <w:r w:rsidRPr="00096B4C">
        <w:rPr>
          <w:i/>
          <w:iCs/>
        </w:rPr>
        <w:t>E.g</w:t>
      </w:r>
      <w:r>
        <w:t xml:space="preserve">., </w:t>
      </w:r>
      <w:r w:rsidRPr="00FC02E6">
        <w:rPr>
          <w:rFonts w:eastAsiaTheme="minorHAnsi"/>
        </w:rPr>
        <w:t xml:space="preserve">documents filed with the Secretary of State </w:t>
      </w:r>
      <w:r>
        <w:rPr>
          <w:rFonts w:eastAsiaTheme="minorHAnsi"/>
        </w:rPr>
        <w:t xml:space="preserve">are </w:t>
      </w:r>
      <w:r w:rsidRPr="00FC02E6">
        <w:rPr>
          <w:rFonts w:eastAsiaTheme="minorHAnsi"/>
        </w:rPr>
        <w:t xml:space="preserve">governed by </w:t>
      </w:r>
      <w:r>
        <w:rPr>
          <w:rFonts w:eastAsiaTheme="minorHAnsi"/>
        </w:rPr>
        <w:t>Section </w:t>
      </w:r>
      <w:r w:rsidRPr="00FC02E6">
        <w:rPr>
          <w:rFonts w:eastAsiaTheme="minorHAnsi"/>
        </w:rPr>
        <w:t>10</w:t>
      </w:r>
      <w:r>
        <w:rPr>
          <w:rFonts w:eastAsiaTheme="minorHAnsi"/>
        </w:rPr>
        <w:t>07.H</w:t>
      </w:r>
      <w:r w:rsidRPr="00FC02E6">
        <w:rPr>
          <w:rFonts w:eastAsiaTheme="minorHAnsi"/>
        </w:rPr>
        <w:t>, documents</w:t>
      </w:r>
      <w:r>
        <w:rPr>
          <w:rFonts w:eastAsiaTheme="minorHAnsi"/>
        </w:rPr>
        <w:t xml:space="preserve"> </w:t>
      </w:r>
      <w:r w:rsidRPr="00FC02E6">
        <w:rPr>
          <w:rFonts w:eastAsiaTheme="minorHAnsi"/>
        </w:rPr>
        <w:t xml:space="preserve">comprising part of the stock ledger </w:t>
      </w:r>
      <w:r>
        <w:rPr>
          <w:rFonts w:eastAsiaTheme="minorHAnsi"/>
        </w:rPr>
        <w:t xml:space="preserve">are </w:t>
      </w:r>
      <w:r w:rsidRPr="00FC02E6">
        <w:rPr>
          <w:rFonts w:eastAsiaTheme="minorHAnsi"/>
        </w:rPr>
        <w:t xml:space="preserve">governed by </w:t>
      </w:r>
      <w:r>
        <w:rPr>
          <w:rFonts w:eastAsiaTheme="minorHAnsi"/>
        </w:rPr>
        <w:t>Section 1064</w:t>
      </w:r>
      <w:r w:rsidRPr="00FC02E6">
        <w:rPr>
          <w:rFonts w:eastAsiaTheme="minorHAnsi"/>
        </w:rPr>
        <w:t xml:space="preserve">, notices </w:t>
      </w:r>
      <w:r>
        <w:rPr>
          <w:rFonts w:eastAsiaTheme="minorHAnsi"/>
        </w:rPr>
        <w:t xml:space="preserve">are </w:t>
      </w:r>
      <w:r w:rsidRPr="00FC02E6">
        <w:rPr>
          <w:rFonts w:eastAsiaTheme="minorHAnsi"/>
        </w:rPr>
        <w:t xml:space="preserve">governed by </w:t>
      </w:r>
      <w:r>
        <w:rPr>
          <w:rFonts w:eastAsiaTheme="minorHAnsi"/>
        </w:rPr>
        <w:t>Section 1075.2</w:t>
      </w:r>
      <w:r w:rsidRPr="00FC02E6">
        <w:rPr>
          <w:rFonts w:eastAsiaTheme="minorHAnsi"/>
        </w:rPr>
        <w:t xml:space="preserve">, in the case of </w:t>
      </w:r>
      <w:r>
        <w:rPr>
          <w:rFonts w:eastAsiaTheme="minorHAnsi"/>
        </w:rPr>
        <w:t>sharehol</w:t>
      </w:r>
      <w:r w:rsidRPr="00FC02E6">
        <w:rPr>
          <w:rFonts w:eastAsiaTheme="minorHAnsi"/>
        </w:rPr>
        <w:t>der</w:t>
      </w:r>
      <w:r>
        <w:rPr>
          <w:rFonts w:eastAsiaTheme="minorHAnsi"/>
        </w:rPr>
        <w:t xml:space="preserve"> </w:t>
      </w:r>
      <w:r w:rsidRPr="00FC02E6">
        <w:rPr>
          <w:rFonts w:eastAsiaTheme="minorHAnsi"/>
        </w:rPr>
        <w:t xml:space="preserve">meetings, waivers of notice </w:t>
      </w:r>
      <w:r>
        <w:rPr>
          <w:rFonts w:eastAsiaTheme="minorHAnsi"/>
        </w:rPr>
        <w:t xml:space="preserve">are </w:t>
      </w:r>
      <w:r w:rsidRPr="00FC02E6">
        <w:rPr>
          <w:rFonts w:eastAsiaTheme="minorHAnsi"/>
        </w:rPr>
        <w:t xml:space="preserve">governed by </w:t>
      </w:r>
      <w:r>
        <w:rPr>
          <w:rFonts w:eastAsiaTheme="minorHAnsi"/>
        </w:rPr>
        <w:t>Section 1074,</w:t>
      </w:r>
      <w:r w:rsidRPr="00FC02E6">
        <w:rPr>
          <w:rFonts w:eastAsiaTheme="minorHAnsi"/>
        </w:rPr>
        <w:t xml:space="preserve"> and actions taken by directors, </w:t>
      </w:r>
      <w:r>
        <w:rPr>
          <w:rFonts w:eastAsiaTheme="minorHAnsi"/>
        </w:rPr>
        <w:t>sharehol</w:t>
      </w:r>
      <w:r w:rsidRPr="00FC02E6">
        <w:rPr>
          <w:rFonts w:eastAsiaTheme="minorHAnsi"/>
        </w:rPr>
        <w:t>ders or incorporators</w:t>
      </w:r>
      <w:r>
        <w:rPr>
          <w:rFonts w:eastAsiaTheme="minorHAnsi"/>
        </w:rPr>
        <w:t xml:space="preserve"> are </w:t>
      </w:r>
      <w:r w:rsidRPr="00FC02E6">
        <w:rPr>
          <w:rFonts w:eastAsiaTheme="minorHAnsi"/>
        </w:rPr>
        <w:t>governed by Sections</w:t>
      </w:r>
      <w:r>
        <w:rPr>
          <w:rFonts w:eastAsiaTheme="minorHAnsi"/>
        </w:rPr>
        <w:t> 1027.F</w:t>
      </w:r>
      <w:r w:rsidRPr="00FC02E6">
        <w:rPr>
          <w:rFonts w:eastAsiaTheme="minorHAnsi"/>
        </w:rPr>
        <w:t xml:space="preserve">, </w:t>
      </w:r>
      <w:r>
        <w:rPr>
          <w:rFonts w:eastAsiaTheme="minorHAnsi"/>
        </w:rPr>
        <w:t>1073.D</w:t>
      </w:r>
      <w:r w:rsidRPr="00FC02E6">
        <w:rPr>
          <w:rFonts w:eastAsiaTheme="minorHAnsi"/>
        </w:rPr>
        <w:t xml:space="preserve"> and 10</w:t>
      </w:r>
      <w:r>
        <w:rPr>
          <w:rFonts w:eastAsiaTheme="minorHAnsi"/>
        </w:rPr>
        <w:t>12.C</w:t>
      </w:r>
      <w:r w:rsidRPr="00FC02E6">
        <w:rPr>
          <w:rFonts w:eastAsiaTheme="minorHAnsi"/>
        </w:rPr>
        <w:t>, respectively</w:t>
      </w:r>
      <w:r>
        <w:rPr>
          <w:rFonts w:eastAsiaTheme="minorHAnsi"/>
        </w:rPr>
        <w:t>.</w:t>
      </w:r>
    </w:p>
  </w:footnote>
  <w:footnote w:id="49">
    <w:p w14:paraId="7C8D3EEB" w14:textId="777F9030" w:rsidR="00B368E1" w:rsidRDefault="00B368E1">
      <w:pPr>
        <w:pStyle w:val="FootnoteText"/>
      </w:pPr>
      <w:r>
        <w:rPr>
          <w:rStyle w:val="FootnoteReference"/>
        </w:rPr>
        <w:footnoteRef/>
      </w:r>
      <w:r>
        <w:t xml:space="preserve"> </w:t>
      </w:r>
      <w:r>
        <w:tab/>
        <w:t xml:space="preserve">12A O.S. </w:t>
      </w:r>
      <w:r>
        <w:rPr>
          <w:rFonts w:cs="Times New Roman"/>
        </w:rPr>
        <w:t>§§</w:t>
      </w:r>
      <w:r>
        <w:rPr>
          <w:rFonts w:eastAsiaTheme="minorHAnsi"/>
        </w:rPr>
        <w:t>15-101</w:t>
      </w:r>
      <w:r w:rsidR="002B6662">
        <w:rPr>
          <w:rFonts w:eastAsiaTheme="minorHAnsi"/>
        </w:rPr>
        <w:t xml:space="preserve">, </w:t>
      </w:r>
      <w:r w:rsidR="002B6662" w:rsidRPr="002B6662">
        <w:rPr>
          <w:rFonts w:eastAsiaTheme="minorHAnsi"/>
          <w:i/>
          <w:iCs/>
        </w:rPr>
        <w:t>et seq</w:t>
      </w:r>
      <w:r w:rsidR="002B6662">
        <w:rPr>
          <w:rFonts w:eastAsiaTheme="minorHAnsi"/>
        </w:rPr>
        <w:t>.</w:t>
      </w:r>
      <w:r>
        <w:rPr>
          <w:rFonts w:eastAsiaTheme="minorHAnsi"/>
        </w:rPr>
        <w:t xml:space="preserve"> </w:t>
      </w:r>
    </w:p>
  </w:footnote>
  <w:footnote w:id="50">
    <w:p w14:paraId="7443A919" w14:textId="291F1079" w:rsidR="002B6662" w:rsidRDefault="002B6662">
      <w:pPr>
        <w:pStyle w:val="FootnoteText"/>
      </w:pPr>
      <w:r>
        <w:rPr>
          <w:rStyle w:val="FootnoteReference"/>
        </w:rPr>
        <w:footnoteRef/>
      </w:r>
      <w:r>
        <w:t xml:space="preserve"> </w:t>
      </w:r>
      <w:r>
        <w:tab/>
      </w:r>
      <w:r w:rsidRPr="002B6662">
        <w:rPr>
          <w:rFonts w:cs="Times New Roman"/>
          <w:shd w:val="clear" w:color="auto" w:fill="FFFFFF"/>
        </w:rPr>
        <w:t>15 U.S.C. §</w:t>
      </w:r>
      <w:r>
        <w:rPr>
          <w:rFonts w:cs="Times New Roman"/>
        </w:rPr>
        <w:t>§</w:t>
      </w:r>
      <w:r w:rsidRPr="002B6662">
        <w:rPr>
          <w:rFonts w:cs="Times New Roman"/>
          <w:shd w:val="clear" w:color="auto" w:fill="FFFFFF"/>
        </w:rPr>
        <w:t xml:space="preserve">7001, </w:t>
      </w:r>
      <w:r w:rsidRPr="002B6662">
        <w:rPr>
          <w:rStyle w:val="Emphasis"/>
          <w:rFonts w:cs="Times New Roman"/>
          <w:shd w:val="clear" w:color="auto" w:fill="FFFFFF"/>
        </w:rPr>
        <w:t>et seq</w:t>
      </w:r>
      <w:r w:rsidRPr="002B6662">
        <w:rPr>
          <w:rFonts w:cs="Times New Roman"/>
          <w:shd w:val="clear" w:color="auto" w:fill="FFFFFF"/>
        </w:rPr>
        <w:t>.</w:t>
      </w:r>
    </w:p>
  </w:footnote>
  <w:footnote w:id="51">
    <w:p w14:paraId="37A6714F" w14:textId="1A0F4E56" w:rsidR="00234CB9" w:rsidRDefault="00234CB9">
      <w:pPr>
        <w:pStyle w:val="FootnoteText"/>
      </w:pPr>
      <w:r>
        <w:rPr>
          <w:rStyle w:val="FootnoteReference"/>
        </w:rPr>
        <w:footnoteRef/>
      </w:r>
      <w:r>
        <w:t xml:space="preserve"> </w:t>
      </w:r>
      <w:r>
        <w:tab/>
      </w:r>
      <w:r w:rsidRPr="0084243D">
        <w:rPr>
          <w:rFonts w:eastAsia="Times New Roman" w:cs="Times New Roman"/>
          <w:szCs w:val="24"/>
        </w:rPr>
        <w:t xml:space="preserve">The term “organized” refers to the incorporation of a corporation.  The term “formed” refers to the formation of a non-corporate entity.  The term “domestic corporation” refers to a corporation organized under </w:t>
      </w:r>
      <w:r>
        <w:rPr>
          <w:rFonts w:eastAsia="Times New Roman" w:cs="Times New Roman"/>
          <w:szCs w:val="24"/>
        </w:rPr>
        <w:t xml:space="preserve">Oklahoma </w:t>
      </w:r>
      <w:r w:rsidRPr="0084243D">
        <w:rPr>
          <w:rFonts w:eastAsia="Times New Roman" w:cs="Times New Roman"/>
          <w:szCs w:val="24"/>
        </w:rPr>
        <w:t xml:space="preserve">law. </w:t>
      </w:r>
      <w:r>
        <w:rPr>
          <w:rFonts w:eastAsia="Times New Roman" w:cs="Times New Roman"/>
          <w:szCs w:val="24"/>
        </w:rPr>
        <w:t xml:space="preserve"> </w:t>
      </w:r>
      <w:r w:rsidRPr="0084243D">
        <w:rPr>
          <w:rFonts w:eastAsia="Times New Roman" w:cs="Times New Roman"/>
          <w:szCs w:val="24"/>
        </w:rPr>
        <w:t xml:space="preserve">The term “foreign corporation” refers to a corporation organized under the laws of any jurisdiction other than </w:t>
      </w:r>
      <w:r>
        <w:rPr>
          <w:rFonts w:eastAsia="Times New Roman" w:cs="Times New Roman"/>
          <w:szCs w:val="24"/>
        </w:rPr>
        <w:t>Oklahoma</w:t>
      </w:r>
      <w:r w:rsidRPr="0084243D">
        <w:rPr>
          <w:rFonts w:eastAsia="Times New Roman" w:cs="Times New Roman"/>
          <w:szCs w:val="24"/>
        </w:rPr>
        <w:t xml:space="preserve">. </w:t>
      </w:r>
      <w:r>
        <w:rPr>
          <w:rFonts w:eastAsia="Times New Roman" w:cs="Times New Roman"/>
          <w:szCs w:val="24"/>
        </w:rPr>
        <w:t xml:space="preserve"> The term “surviving” corporation refers to the corporation existing after a merger.  The term “resulting” corporation refers to the corporation existing after a consolidation.</w:t>
      </w:r>
    </w:p>
  </w:footnote>
  <w:footnote w:id="52">
    <w:p w14:paraId="36CD63EF" w14:textId="3D67336A" w:rsidR="00DD2C60" w:rsidRDefault="00DD2C60">
      <w:pPr>
        <w:pStyle w:val="FootnoteText"/>
      </w:pPr>
      <w:r>
        <w:rPr>
          <w:rStyle w:val="FootnoteReference"/>
        </w:rPr>
        <w:footnoteRef/>
      </w:r>
      <w:r>
        <w:t xml:space="preserve"> </w:t>
      </w:r>
      <w:r>
        <w:tab/>
        <w:t xml:space="preserve">The public benefit LLC provisions are codified at 18 O.S. </w:t>
      </w:r>
      <w:r>
        <w:rPr>
          <w:rFonts w:cs="Times New Roman"/>
        </w:rPr>
        <w:t>§§2</w:t>
      </w:r>
      <w:r w:rsidRPr="003A18BD">
        <w:t>0</w:t>
      </w:r>
      <w:r>
        <w:t>61 through 2067.</w:t>
      </w:r>
    </w:p>
  </w:footnote>
  <w:footnote w:id="53">
    <w:p w14:paraId="3C77D925" w14:textId="7C4FCE46" w:rsidR="00FD29E8" w:rsidRDefault="00FD29E8">
      <w:pPr>
        <w:pStyle w:val="FootnoteText"/>
      </w:pPr>
      <w:r>
        <w:rPr>
          <w:rStyle w:val="FootnoteReference"/>
        </w:rPr>
        <w:footnoteRef/>
      </w:r>
      <w:r>
        <w:t xml:space="preserve"> </w:t>
      </w:r>
      <w:r>
        <w:tab/>
      </w:r>
      <w:r w:rsidRPr="00BD3FAB">
        <w:rPr>
          <w:szCs w:val="24"/>
          <w:shd w:val="clear" w:color="auto" w:fill="FFFFFF"/>
        </w:rPr>
        <w:t>Case No. 20-CV-71-TCK-CDL (N.D. Okla. Mar. 17, 2021)</w:t>
      </w:r>
      <w:r>
        <w:rPr>
          <w:szCs w:val="24"/>
          <w:shd w:val="clear" w:color="auto" w:fill="FFFFFF"/>
        </w:rPr>
        <w:t>.</w:t>
      </w:r>
    </w:p>
  </w:footnote>
  <w:footnote w:id="54">
    <w:p w14:paraId="45F7FCC6" w14:textId="77777777" w:rsidR="00090872" w:rsidRDefault="00882286">
      <w:pPr>
        <w:pStyle w:val="FootnoteText"/>
      </w:pPr>
      <w:r>
        <w:rPr>
          <w:rStyle w:val="FootnoteReference"/>
        </w:rPr>
        <w:footnoteRef/>
      </w:r>
      <w:r>
        <w:t xml:space="preserve"> </w:t>
      </w:r>
      <w:r>
        <w:tab/>
      </w:r>
      <w:r w:rsidR="00F0304E" w:rsidRPr="00F0304E">
        <w:rPr>
          <w:i/>
          <w:iCs/>
        </w:rPr>
        <w:t>Id</w:t>
      </w:r>
      <w:r w:rsidR="00F0304E">
        <w:t>.  Courts would typically apply the law of the state chosen by the parties, the law where the contract was made, or the place of performance.  These standards will not apply when the public policy of a state voids the contract.</w:t>
      </w:r>
    </w:p>
    <w:p w14:paraId="0E64C132" w14:textId="0905FE43" w:rsidR="00882286" w:rsidRDefault="00F0304E">
      <w:pPr>
        <w:pStyle w:val="FootnoteText"/>
      </w:pPr>
      <w:r>
        <w:t xml:space="preserve"> </w:t>
      </w:r>
    </w:p>
  </w:footnote>
  <w:footnote w:id="55">
    <w:p w14:paraId="3A85F818" w14:textId="3EEF2028" w:rsidR="00B0219E" w:rsidRDefault="00B0219E">
      <w:pPr>
        <w:pStyle w:val="FootnoteText"/>
      </w:pPr>
      <w:r>
        <w:rPr>
          <w:rStyle w:val="FootnoteReference"/>
        </w:rPr>
        <w:footnoteRef/>
      </w:r>
      <w:r>
        <w:t xml:space="preserve"> </w:t>
      </w:r>
      <w:r>
        <w:tab/>
        <w:t xml:space="preserve">15 O.S. </w:t>
      </w:r>
      <w:r>
        <w:rPr>
          <w:rFonts w:cs="Times New Roman"/>
        </w:rPr>
        <w:t>§219A.</w:t>
      </w:r>
    </w:p>
  </w:footnote>
  <w:footnote w:id="56">
    <w:p w14:paraId="109A6F3D" w14:textId="01D7CA54" w:rsidR="00B0219E" w:rsidRDefault="00B0219E">
      <w:pPr>
        <w:pStyle w:val="FootnoteText"/>
      </w:pPr>
      <w:r>
        <w:rPr>
          <w:rStyle w:val="FootnoteReference"/>
        </w:rPr>
        <w:footnoteRef/>
      </w:r>
      <w:r>
        <w:t xml:space="preserve"> </w:t>
      </w:r>
      <w:r>
        <w:tab/>
      </w:r>
      <w:r w:rsidRPr="00B0219E">
        <w:rPr>
          <w:i/>
          <w:iCs/>
        </w:rPr>
        <w:t>Id</w:t>
      </w:r>
      <w:r>
        <w:t xml:space="preserve">. </w:t>
      </w:r>
    </w:p>
  </w:footnote>
  <w:footnote w:id="57">
    <w:p w14:paraId="599BB1F7" w14:textId="1BC08A44" w:rsidR="00872EF1" w:rsidRDefault="00872EF1" w:rsidP="00033B6F">
      <w:pPr>
        <w:pStyle w:val="FootnoteText"/>
        <w:spacing w:line="276" w:lineRule="auto"/>
      </w:pPr>
      <w:r>
        <w:rPr>
          <w:rStyle w:val="FootnoteReference"/>
        </w:rPr>
        <w:footnoteRef/>
      </w:r>
      <w:r>
        <w:t xml:space="preserve"> </w:t>
      </w:r>
      <w:r>
        <w:tab/>
      </w:r>
      <w:r>
        <w:rPr>
          <w:rStyle w:val="Strong"/>
          <w:b w:val="0"/>
          <w:bCs w:val="0"/>
          <w:color w:val="333333"/>
          <w:szCs w:val="24"/>
          <w:shd w:val="clear" w:color="auto" w:fill="FFFFFF"/>
        </w:rPr>
        <w:t xml:space="preserve">2021 OK CIV APP 15, </w:t>
      </w:r>
      <w:r w:rsidR="00033B6F">
        <w:rPr>
          <w:rStyle w:val="Strong"/>
          <w:b w:val="0"/>
          <w:bCs w:val="0"/>
          <w:color w:val="333333"/>
          <w:szCs w:val="24"/>
          <w:shd w:val="clear" w:color="auto" w:fill="FFFFFF"/>
        </w:rPr>
        <w:t>___</w:t>
      </w:r>
      <w:r w:rsidRPr="00033B6F">
        <w:rPr>
          <w:rStyle w:val="Strong"/>
          <w:b w:val="0"/>
          <w:bCs w:val="0"/>
          <w:szCs w:val="24"/>
          <w:shd w:val="clear" w:color="auto" w:fill="FFFFFF"/>
        </w:rPr>
        <w:t>P.3d ___</w:t>
      </w:r>
      <w:r w:rsidR="00F40796" w:rsidRPr="00033B6F">
        <w:rPr>
          <w:rStyle w:val="Strong"/>
          <w:b w:val="0"/>
          <w:bCs w:val="0"/>
          <w:szCs w:val="24"/>
          <w:shd w:val="clear" w:color="auto" w:fill="FFFFFF"/>
        </w:rPr>
        <w:t>.</w:t>
      </w:r>
    </w:p>
  </w:footnote>
  <w:footnote w:id="58">
    <w:p w14:paraId="5074F740" w14:textId="77777777" w:rsidR="00090872" w:rsidRDefault="00A421CB">
      <w:pPr>
        <w:pStyle w:val="FootnoteText"/>
        <w:rPr>
          <w:rStyle w:val="Strong"/>
          <w:b w:val="0"/>
          <w:bCs w:val="0"/>
          <w:color w:val="333333"/>
          <w:szCs w:val="24"/>
          <w:shd w:val="clear" w:color="auto" w:fill="FFFFFF"/>
        </w:rPr>
      </w:pPr>
      <w:r>
        <w:rPr>
          <w:rStyle w:val="FootnoteReference"/>
        </w:rPr>
        <w:footnoteRef/>
      </w:r>
      <w:r>
        <w:t xml:space="preserve"> </w:t>
      </w:r>
      <w:r>
        <w:tab/>
      </w:r>
      <w:r w:rsidRPr="00A421CB">
        <w:rPr>
          <w:i/>
          <w:iCs/>
        </w:rPr>
        <w:t>Cf</w:t>
      </w:r>
      <w:r>
        <w:t xml:space="preserve">. </w:t>
      </w:r>
      <w:r w:rsidRPr="00A421CB">
        <w:rPr>
          <w:rStyle w:val="Strong"/>
          <w:b w:val="0"/>
          <w:bCs w:val="0"/>
          <w:i/>
          <w:iCs/>
          <w:color w:val="333333"/>
          <w:szCs w:val="24"/>
          <w:shd w:val="clear" w:color="auto" w:fill="FFFFFF"/>
        </w:rPr>
        <w:t>Rawdon v. Starwood Capital Group</w:t>
      </w:r>
      <w:r w:rsidRPr="00F423AB">
        <w:rPr>
          <w:rStyle w:val="Strong"/>
          <w:b w:val="0"/>
          <w:bCs w:val="0"/>
          <w:color w:val="333333"/>
          <w:szCs w:val="24"/>
          <w:shd w:val="clear" w:color="auto" w:fill="FFFFFF"/>
        </w:rPr>
        <w:t>, 2019 OK CIV APP 70, 453 P.3d 516</w:t>
      </w:r>
      <w:r>
        <w:rPr>
          <w:rStyle w:val="Strong"/>
          <w:b w:val="0"/>
          <w:bCs w:val="0"/>
          <w:color w:val="333333"/>
          <w:szCs w:val="24"/>
          <w:shd w:val="clear" w:color="auto" w:fill="FFFFFF"/>
        </w:rPr>
        <w:t xml:space="preserve"> (</w:t>
      </w:r>
      <w:r w:rsidR="006D0012">
        <w:rPr>
          <w:rStyle w:val="Strong"/>
          <w:b w:val="0"/>
          <w:bCs w:val="0"/>
          <w:color w:val="333333"/>
          <w:szCs w:val="24"/>
          <w:shd w:val="clear" w:color="auto" w:fill="FFFFFF"/>
        </w:rPr>
        <w:t>a forum selection clause covering “any action or proceeding arising out of, or relating to, [the parties’ LLC agreement]” was broad enough to cover claims for fraud, breach of fiduciary duties, and conspiracy)</w:t>
      </w:r>
      <w:r>
        <w:rPr>
          <w:rStyle w:val="Strong"/>
          <w:b w:val="0"/>
          <w:bCs w:val="0"/>
          <w:color w:val="333333"/>
          <w:szCs w:val="24"/>
          <w:shd w:val="clear" w:color="auto" w:fill="FFFFFF"/>
        </w:rPr>
        <w:t>.</w:t>
      </w:r>
    </w:p>
    <w:p w14:paraId="2CAA94EC" w14:textId="55A906C1" w:rsidR="00A421CB" w:rsidRDefault="00A421CB">
      <w:pPr>
        <w:pStyle w:val="FootnoteText"/>
      </w:pPr>
      <w:r>
        <w:rPr>
          <w:rStyle w:val="Strong"/>
          <w:b w:val="0"/>
          <w:bCs w:val="0"/>
          <w:color w:val="333333"/>
          <w:szCs w:val="24"/>
          <w:shd w:val="clear" w:color="auto" w:fill="FFFFFF"/>
        </w:rPr>
        <w:t xml:space="preserve"> </w:t>
      </w:r>
    </w:p>
  </w:footnote>
  <w:footnote w:id="59">
    <w:p w14:paraId="20D9D40B" w14:textId="0547C89F" w:rsidR="00542804" w:rsidRPr="00542804" w:rsidRDefault="00542804">
      <w:pPr>
        <w:pStyle w:val="FootnoteText"/>
        <w:rPr>
          <w:rFonts w:cs="Times New Roman"/>
        </w:rPr>
      </w:pPr>
      <w:r>
        <w:rPr>
          <w:rStyle w:val="FootnoteReference"/>
        </w:rPr>
        <w:footnoteRef/>
      </w:r>
      <w:r>
        <w:t xml:space="preserve"> </w:t>
      </w:r>
      <w:r>
        <w:tab/>
      </w:r>
      <w:r w:rsidRPr="00542804">
        <w:rPr>
          <w:rFonts w:cs="Times New Roman"/>
          <w:color w:val="212529"/>
          <w:shd w:val="clear" w:color="auto" w:fill="FFFFFF"/>
        </w:rPr>
        <w:t>No. 20-9508 (10</w:t>
      </w:r>
      <w:r w:rsidR="00033B6F" w:rsidRPr="00033B6F">
        <w:rPr>
          <w:rFonts w:cs="Times New Roman"/>
          <w:color w:val="212529"/>
          <w:shd w:val="clear" w:color="auto" w:fill="FFFFFF"/>
          <w:vertAlign w:val="superscript"/>
        </w:rPr>
        <w:t>th</w:t>
      </w:r>
      <w:r w:rsidR="00033B6F">
        <w:rPr>
          <w:rFonts w:cs="Times New Roman"/>
          <w:color w:val="212529"/>
          <w:shd w:val="clear" w:color="auto" w:fill="FFFFFF"/>
        </w:rPr>
        <w:t xml:space="preserve"> </w:t>
      </w:r>
      <w:r w:rsidRPr="00542804">
        <w:rPr>
          <w:rFonts w:cs="Times New Roman"/>
          <w:color w:val="212529"/>
          <w:shd w:val="clear" w:color="auto" w:fill="FFFFFF"/>
        </w:rPr>
        <w:t>Cir.</w:t>
      </w:r>
      <w:r w:rsidR="00033B6F">
        <w:rPr>
          <w:rFonts w:cs="Times New Roman"/>
          <w:color w:val="212529"/>
          <w:shd w:val="clear" w:color="auto" w:fill="FFFFFF"/>
        </w:rPr>
        <w:t>,</w:t>
      </w:r>
      <w:r w:rsidRPr="00542804">
        <w:rPr>
          <w:rFonts w:cs="Times New Roman"/>
          <w:color w:val="212529"/>
          <w:shd w:val="clear" w:color="auto" w:fill="FFFFFF"/>
        </w:rPr>
        <w:t xml:space="preserve"> Mar. 9, 2021).</w:t>
      </w:r>
    </w:p>
  </w:footnote>
  <w:footnote w:id="60">
    <w:p w14:paraId="132E993A" w14:textId="77777777" w:rsidR="00247215" w:rsidRDefault="00247215" w:rsidP="00247215">
      <w:pPr>
        <w:pStyle w:val="FootnoteText"/>
      </w:pPr>
      <w:r>
        <w:rPr>
          <w:rStyle w:val="FootnoteReference"/>
        </w:rPr>
        <w:footnoteRef/>
      </w:r>
      <w:r>
        <w:t xml:space="preserve"> </w:t>
      </w:r>
      <w:r>
        <w:tab/>
      </w:r>
      <w:r w:rsidRPr="005956CD">
        <w:rPr>
          <w:i/>
          <w:iCs/>
        </w:rPr>
        <w:t>In re Caremark International Inc. Derivative Litigation</w:t>
      </w:r>
      <w:r>
        <w:t xml:space="preserve">, </w:t>
      </w:r>
      <w:r w:rsidRPr="00F463EA">
        <w:t>698 A.2d 959 (Del. Ch. 1996)</w:t>
      </w:r>
      <w:r>
        <w:t xml:space="preserve"> (“</w:t>
      </w:r>
      <w:r w:rsidRPr="00A26C8B">
        <w:t>a director</w:t>
      </w:r>
      <w:r>
        <w:t>’</w:t>
      </w:r>
      <w:r w:rsidRPr="00A26C8B">
        <w:t>s obligation includes a duty to attempt in good faith to assure that a corporate information and reporting system, which the board concludes is adequate, exists, and that failure to do so under some circumstances may . . . render a director liable</w:t>
      </w:r>
      <w:r>
        <w:t>”)</w:t>
      </w:r>
      <w:r w:rsidRPr="00F463EA">
        <w:t>.</w:t>
      </w:r>
    </w:p>
  </w:footnote>
  <w:footnote w:id="61">
    <w:p w14:paraId="797C884F" w14:textId="3F5F677C" w:rsidR="00D41AA4" w:rsidRPr="00D41AA4" w:rsidRDefault="00D41AA4">
      <w:pPr>
        <w:pStyle w:val="FootnoteText"/>
      </w:pPr>
      <w:r>
        <w:rPr>
          <w:rStyle w:val="FootnoteReference"/>
        </w:rPr>
        <w:footnoteRef/>
      </w:r>
      <w:r>
        <w:t xml:space="preserve"> </w:t>
      </w:r>
      <w:r>
        <w:tab/>
      </w:r>
      <w:hyperlink r:id="rId2" w:tgtFrame="_blank" w:history="1">
        <w:r w:rsidRPr="00D41AA4">
          <w:rPr>
            <w:rStyle w:val="Hyperlink"/>
            <w:i/>
            <w:iCs/>
            <w:color w:val="auto"/>
            <w:u w:val="none"/>
          </w:rPr>
          <w:t>Marchand v. Barnhill</w:t>
        </w:r>
      </w:hyperlink>
      <w:r w:rsidRPr="00D41AA4">
        <w:rPr>
          <w:rStyle w:val="Hyperlink"/>
          <w:color w:val="auto"/>
          <w:u w:val="none"/>
        </w:rPr>
        <w:t xml:space="preserve">, </w:t>
      </w:r>
      <w:r w:rsidRPr="00D41AA4">
        <w:rPr>
          <w:rFonts w:cs="Times New Roman"/>
          <w:shd w:val="clear" w:color="auto" w:fill="FFFFFF"/>
        </w:rPr>
        <w:t>212 A.3d 805 (Del. 2019).</w:t>
      </w:r>
    </w:p>
  </w:footnote>
  <w:footnote w:id="62">
    <w:p w14:paraId="53781C2C" w14:textId="59551373" w:rsidR="00E47317" w:rsidRPr="00924EFF" w:rsidRDefault="00E47317" w:rsidP="00924EFF">
      <w:pPr>
        <w:pStyle w:val="Heading1"/>
        <w:keepNext w:val="0"/>
        <w:shd w:val="clear" w:color="auto" w:fill="FFFFFF"/>
        <w:spacing w:before="120" w:after="0" w:line="240" w:lineRule="auto"/>
        <w:ind w:left="720" w:right="360" w:hanging="360"/>
        <w:jc w:val="left"/>
        <w:rPr>
          <w:rStyle w:val="FootnoteChar"/>
          <w:b w:val="0"/>
          <w:bCs w:val="0"/>
        </w:rPr>
      </w:pPr>
      <w:r w:rsidRPr="00F70BF7">
        <w:rPr>
          <w:rStyle w:val="FootnoteReference"/>
          <w:b w:val="0"/>
          <w:bCs w:val="0"/>
        </w:rPr>
        <w:footnoteRef/>
      </w:r>
      <w:r>
        <w:t xml:space="preserve"> </w:t>
      </w:r>
      <w:r>
        <w:tab/>
      </w:r>
      <w:r w:rsidR="00373A41" w:rsidRPr="00373A41">
        <w:rPr>
          <w:rFonts w:ascii="Times New Roman" w:hAnsi="Times New Roman" w:cs="Times New Roman"/>
          <w:b w:val="0"/>
          <w:bCs w:val="0"/>
          <w:caps w:val="0"/>
          <w:sz w:val="20"/>
          <w:szCs w:val="20"/>
        </w:rPr>
        <w:t>Kotler, Marcogliese and Tracy, “</w:t>
      </w:r>
      <w:r w:rsidRPr="00373A41">
        <w:rPr>
          <w:rStyle w:val="FootnoteChar"/>
          <w:rFonts w:cs="Times New Roman"/>
          <w:b w:val="0"/>
          <w:bCs w:val="0"/>
          <w:caps w:val="0"/>
        </w:rPr>
        <w:t xml:space="preserve">Recent Delaware Court </w:t>
      </w:r>
      <w:r w:rsidR="00373A41">
        <w:rPr>
          <w:rStyle w:val="FootnoteChar"/>
          <w:rFonts w:cs="Times New Roman"/>
          <w:b w:val="0"/>
          <w:bCs w:val="0"/>
          <w:caps w:val="0"/>
        </w:rPr>
        <w:t>o</w:t>
      </w:r>
      <w:r w:rsidRPr="00373A41">
        <w:rPr>
          <w:rStyle w:val="FootnoteChar"/>
          <w:rFonts w:cs="Times New Roman"/>
          <w:b w:val="0"/>
          <w:bCs w:val="0"/>
          <w:caps w:val="0"/>
        </w:rPr>
        <w:t>f Chancery Decision Sustains Another</w:t>
      </w:r>
      <w:r w:rsidR="00373A41">
        <w:rPr>
          <w:rStyle w:val="FootnoteChar"/>
          <w:rFonts w:cs="Times New Roman"/>
          <w:b w:val="0"/>
          <w:bCs w:val="0"/>
          <w:caps w:val="0"/>
        </w:rPr>
        <w:t xml:space="preserve"> </w:t>
      </w:r>
      <w:r w:rsidRPr="00373A41">
        <w:rPr>
          <w:rStyle w:val="FootnoteChar"/>
          <w:rFonts w:cs="Times New Roman"/>
          <w:b w:val="0"/>
          <w:bCs w:val="0"/>
          <w:caps w:val="0"/>
        </w:rPr>
        <w:t>Caremark</w:t>
      </w:r>
      <w:r w:rsidR="00373A41">
        <w:rPr>
          <w:rStyle w:val="FootnoteChar"/>
          <w:rFonts w:cs="Times New Roman"/>
          <w:b w:val="0"/>
          <w:bCs w:val="0"/>
          <w:caps w:val="0"/>
        </w:rPr>
        <w:t xml:space="preserve"> </w:t>
      </w:r>
      <w:r w:rsidRPr="00373A41">
        <w:rPr>
          <w:rStyle w:val="FootnoteChar"/>
          <w:rFonts w:cs="Times New Roman"/>
          <w:b w:val="0"/>
          <w:bCs w:val="0"/>
          <w:caps w:val="0"/>
        </w:rPr>
        <w:t xml:space="preserve">Claim </w:t>
      </w:r>
      <w:r w:rsidR="00373A41">
        <w:rPr>
          <w:rStyle w:val="FootnoteChar"/>
          <w:rFonts w:cs="Times New Roman"/>
          <w:b w:val="0"/>
          <w:bCs w:val="0"/>
          <w:caps w:val="0"/>
        </w:rPr>
        <w:t>a</w:t>
      </w:r>
      <w:r w:rsidRPr="00373A41">
        <w:rPr>
          <w:rStyle w:val="FootnoteChar"/>
          <w:rFonts w:cs="Times New Roman"/>
          <w:b w:val="0"/>
          <w:bCs w:val="0"/>
          <w:caps w:val="0"/>
        </w:rPr>
        <w:t xml:space="preserve">t </w:t>
      </w:r>
      <w:r w:rsidR="00373A41">
        <w:rPr>
          <w:rStyle w:val="FootnoteChar"/>
          <w:rFonts w:cs="Times New Roman"/>
          <w:b w:val="0"/>
          <w:bCs w:val="0"/>
          <w:caps w:val="0"/>
        </w:rPr>
        <w:t>t</w:t>
      </w:r>
      <w:r w:rsidRPr="00373A41">
        <w:rPr>
          <w:rStyle w:val="FootnoteChar"/>
          <w:rFonts w:cs="Times New Roman"/>
          <w:b w:val="0"/>
          <w:bCs w:val="0"/>
          <w:caps w:val="0"/>
        </w:rPr>
        <w:t>he Pleading Stage</w:t>
      </w:r>
      <w:r w:rsidR="00373A41" w:rsidRPr="00373A41">
        <w:rPr>
          <w:rStyle w:val="FootnoteChar"/>
          <w:rFonts w:cs="Times New Roman"/>
          <w:b w:val="0"/>
          <w:bCs w:val="0"/>
          <w:caps w:val="0"/>
        </w:rPr>
        <w:t xml:space="preserve">”, </w:t>
      </w:r>
      <w:r w:rsidR="00373A41" w:rsidRPr="00F70BF7">
        <w:rPr>
          <w:rStyle w:val="FootnoteChar"/>
          <w:rFonts w:cs="Times New Roman"/>
          <w:b w:val="0"/>
          <w:bCs w:val="0"/>
          <w:i/>
          <w:iCs/>
          <w:caps w:val="0"/>
        </w:rPr>
        <w:t>Harv. Law School Forum on Corporate Governance</w:t>
      </w:r>
      <w:r w:rsidR="00373A41" w:rsidRPr="00373A41">
        <w:rPr>
          <w:rStyle w:val="FootnoteChar"/>
          <w:rFonts w:cs="Times New Roman"/>
          <w:b w:val="0"/>
          <w:bCs w:val="0"/>
          <w:caps w:val="0"/>
        </w:rPr>
        <w:t xml:space="preserve"> (May 25, 2020)</w:t>
      </w:r>
      <w:r w:rsidR="00673BAC">
        <w:rPr>
          <w:rStyle w:val="FootnoteChar"/>
          <w:rFonts w:cs="Times New Roman"/>
          <w:b w:val="0"/>
          <w:bCs w:val="0"/>
          <w:caps w:val="0"/>
        </w:rPr>
        <w:t>.</w:t>
      </w:r>
    </w:p>
  </w:footnote>
  <w:footnote w:id="63">
    <w:p w14:paraId="30F04520" w14:textId="366A7ABE" w:rsidR="004938CA" w:rsidRPr="004938CA" w:rsidRDefault="004938CA">
      <w:pPr>
        <w:pStyle w:val="FootnoteText"/>
        <w:rPr>
          <w:rStyle w:val="FootnoteChar"/>
        </w:rPr>
      </w:pPr>
      <w:r>
        <w:rPr>
          <w:rStyle w:val="FootnoteReference"/>
        </w:rPr>
        <w:footnoteRef/>
      </w:r>
      <w:r>
        <w:t xml:space="preserve"> </w:t>
      </w:r>
      <w:r>
        <w:tab/>
      </w:r>
      <w:r w:rsidRPr="004938CA">
        <w:rPr>
          <w:rStyle w:val="FootnoteChar"/>
        </w:rPr>
        <w:t>2021 WL 4059934 (Del. Ch. Sept. 7, 2021)</w:t>
      </w:r>
      <w:r>
        <w:rPr>
          <w:rStyle w:val="FootnoteChar"/>
        </w:rPr>
        <w:t>.</w:t>
      </w:r>
    </w:p>
  </w:footnote>
  <w:footnote w:id="64">
    <w:p w14:paraId="1766CD2E" w14:textId="421975CE" w:rsidR="004938CA" w:rsidRDefault="004938CA">
      <w:pPr>
        <w:pStyle w:val="FootnoteText"/>
      </w:pPr>
      <w:r>
        <w:rPr>
          <w:rStyle w:val="FootnoteReference"/>
        </w:rPr>
        <w:footnoteRef/>
      </w:r>
      <w:r>
        <w:t xml:space="preserve"> </w:t>
      </w:r>
      <w:r>
        <w:tab/>
      </w:r>
      <w:r w:rsidRPr="004938CA">
        <w:rPr>
          <w:i/>
          <w:iCs/>
        </w:rPr>
        <w:t>Id</w:t>
      </w:r>
      <w:r>
        <w:t>.</w:t>
      </w:r>
      <w:r w:rsidRPr="004938CA">
        <w:rPr>
          <w:rStyle w:val="FootnoteChar"/>
        </w:rPr>
        <w:t>, at *1</w:t>
      </w:r>
      <w:r>
        <w:rPr>
          <w:rStyle w:val="FootnoteChar"/>
        </w:rPr>
        <w:t>.</w:t>
      </w:r>
    </w:p>
  </w:footnote>
  <w:footnote w:id="65">
    <w:p w14:paraId="745DF24C" w14:textId="1CAD0541" w:rsidR="00007895" w:rsidRDefault="00007895">
      <w:pPr>
        <w:pStyle w:val="FootnoteText"/>
      </w:pPr>
      <w:r>
        <w:rPr>
          <w:rStyle w:val="FootnoteReference"/>
        </w:rPr>
        <w:footnoteRef/>
      </w:r>
      <w:r>
        <w:t xml:space="preserve"> </w:t>
      </w:r>
      <w:r>
        <w:tab/>
      </w:r>
      <w:r w:rsidRPr="00007895">
        <w:rPr>
          <w:rStyle w:val="FootnoteChar"/>
          <w:i/>
          <w:iCs/>
        </w:rPr>
        <w:t>Id</w:t>
      </w:r>
      <w:r w:rsidRPr="00007895">
        <w:rPr>
          <w:rStyle w:val="FootnoteChar"/>
        </w:rPr>
        <w:t>.</w:t>
      </w:r>
      <w:r>
        <w:rPr>
          <w:rStyle w:val="FootnoteChar"/>
        </w:rPr>
        <w:t xml:space="preserve"> </w:t>
      </w:r>
      <w:r w:rsidRPr="00007895">
        <w:rPr>
          <w:rStyle w:val="FootnoteChar"/>
        </w:rPr>
        <w:t>(citing</w:t>
      </w:r>
      <w:r>
        <w:rPr>
          <w:rStyle w:val="FootnoteChar"/>
        </w:rPr>
        <w:t xml:space="preserve"> </w:t>
      </w:r>
      <w:r w:rsidRPr="00007895">
        <w:rPr>
          <w:rStyle w:val="FootnoteChar"/>
          <w:i/>
          <w:iCs/>
        </w:rPr>
        <w:t>In re Walt Disney Co. Deriv. Litig</w:t>
      </w:r>
      <w:r w:rsidRPr="00007895">
        <w:rPr>
          <w:rStyle w:val="FootnoteChar"/>
        </w:rPr>
        <w:t>., 906 A.3d 27, 66 (Del. 2006)</w:t>
      </w:r>
      <w:r>
        <w:rPr>
          <w:rStyle w:val="FootnoteChar"/>
        </w:rPr>
        <w:t>).</w:t>
      </w:r>
    </w:p>
  </w:footnote>
  <w:footnote w:id="66">
    <w:p w14:paraId="081B1D7C" w14:textId="6DA075DB" w:rsidR="005C2638" w:rsidRDefault="005C2638">
      <w:pPr>
        <w:pStyle w:val="FootnoteText"/>
      </w:pPr>
      <w:r>
        <w:rPr>
          <w:rStyle w:val="FootnoteReference"/>
        </w:rPr>
        <w:footnoteRef/>
      </w:r>
      <w:r>
        <w:t xml:space="preserve"> </w:t>
      </w:r>
      <w:r>
        <w:tab/>
      </w:r>
      <w:r w:rsidRPr="00C05674">
        <w:rPr>
          <w:szCs w:val="24"/>
          <w:shd w:val="clear" w:color="auto" w:fill="FFFFFF"/>
        </w:rPr>
        <w:t>No. 406, 2020 (Del. Sept. 20, 2021)</w:t>
      </w:r>
      <w:r>
        <w:rPr>
          <w:szCs w:val="24"/>
          <w:shd w:val="clear" w:color="auto" w:fill="FFFFFF"/>
        </w:rPr>
        <w:t>.</w:t>
      </w:r>
    </w:p>
  </w:footnote>
  <w:footnote w:id="67">
    <w:p w14:paraId="6ABB3733" w14:textId="65CE506F" w:rsidR="005C2638" w:rsidRDefault="005C2638">
      <w:pPr>
        <w:pStyle w:val="FootnoteText"/>
      </w:pPr>
      <w:r>
        <w:rPr>
          <w:rStyle w:val="FootnoteReference"/>
        </w:rPr>
        <w:footnoteRef/>
      </w:r>
      <w:r>
        <w:t xml:space="preserve"> </w:t>
      </w:r>
      <w:r>
        <w:tab/>
      </w:r>
      <w:r w:rsidRPr="00C05674">
        <w:rPr>
          <w:szCs w:val="24"/>
          <w:shd w:val="clear" w:color="auto" w:fill="FFFFFF"/>
        </w:rPr>
        <w:t>906 A.2d 91 (Del. 2006)</w:t>
      </w:r>
      <w:r>
        <w:rPr>
          <w:szCs w:val="24"/>
          <w:shd w:val="clear" w:color="auto" w:fill="FFFFFF"/>
        </w:rPr>
        <w:t>.</w:t>
      </w:r>
    </w:p>
  </w:footnote>
  <w:footnote w:id="68">
    <w:p w14:paraId="58EBBFA1" w14:textId="3887BF27" w:rsidR="005C2638" w:rsidRDefault="005C2638">
      <w:pPr>
        <w:pStyle w:val="FootnoteText"/>
      </w:pPr>
      <w:r>
        <w:rPr>
          <w:rStyle w:val="FootnoteReference"/>
        </w:rPr>
        <w:footnoteRef/>
      </w:r>
      <w:r>
        <w:t xml:space="preserve"> </w:t>
      </w:r>
      <w:r>
        <w:tab/>
      </w:r>
      <w:r w:rsidRPr="00C05674">
        <w:rPr>
          <w:szCs w:val="24"/>
          <w:shd w:val="clear" w:color="auto" w:fill="FFFFFF"/>
        </w:rPr>
        <w:t>845 A.2d 1031 (Del. 2004).</w:t>
      </w:r>
    </w:p>
  </w:footnote>
  <w:footnote w:id="69">
    <w:p w14:paraId="06912A32" w14:textId="5FF286BE" w:rsidR="006D34C9" w:rsidRDefault="006D34C9" w:rsidP="006D34C9">
      <w:pPr>
        <w:pStyle w:val="FootnoteText"/>
      </w:pPr>
      <w:r>
        <w:rPr>
          <w:rStyle w:val="FootnoteReference"/>
        </w:rPr>
        <w:footnoteRef/>
      </w:r>
      <w:r>
        <w:t xml:space="preserve"> </w:t>
      </w:r>
      <w:r>
        <w:tab/>
      </w:r>
      <w:r w:rsidR="004F49FF" w:rsidRPr="004F49FF">
        <w:rPr>
          <w:rStyle w:val="Strong"/>
          <w:rFonts w:cs="Times New Roman"/>
          <w:b w:val="0"/>
          <w:bCs w:val="0"/>
          <w:color w:val="333333"/>
          <w:shd w:val="clear" w:color="auto" w:fill="FFFFFF"/>
        </w:rPr>
        <w:t>2018 OK CIV APP 2</w:t>
      </w:r>
      <w:r w:rsidR="004F49FF">
        <w:rPr>
          <w:rStyle w:val="Strong"/>
          <w:rFonts w:cs="Times New Roman"/>
          <w:b w:val="0"/>
          <w:bCs w:val="0"/>
          <w:color w:val="333333"/>
          <w:shd w:val="clear" w:color="auto" w:fill="FFFFFF"/>
        </w:rPr>
        <w:t>,</w:t>
      </w:r>
      <w:r w:rsidR="004F49FF" w:rsidRPr="004F49FF">
        <w:rPr>
          <w:rStyle w:val="Strong"/>
          <w:rFonts w:cs="Times New Roman"/>
          <w:b w:val="0"/>
          <w:bCs w:val="0"/>
          <w:color w:val="333333"/>
          <w:shd w:val="clear" w:color="auto" w:fill="FFFFFF"/>
        </w:rPr>
        <w:t xml:space="preserve"> 419 P.3d 353</w:t>
      </w:r>
      <w:r>
        <w:t xml:space="preserve">.  </w:t>
      </w:r>
      <w:r w:rsidRPr="00C85C5C">
        <w:rPr>
          <w:i/>
          <w:iCs/>
        </w:rPr>
        <w:t>See</w:t>
      </w:r>
      <w:r>
        <w:t xml:space="preserve"> Gary W.</w:t>
      </w:r>
      <w:r w:rsidR="004F49FF">
        <w:t xml:space="preserve"> Derrick</w:t>
      </w:r>
      <w:r>
        <w:t xml:space="preserve">, “Recent Developments in Oklahoma Business and Corporate Law – 2017”, </w:t>
      </w:r>
      <w:r w:rsidRPr="0041187B">
        <w:t>OBA 201</w:t>
      </w:r>
      <w:r>
        <w:t>7</w:t>
      </w:r>
      <w:r w:rsidRPr="0041187B">
        <w:t xml:space="preserve"> Recent Developments (Day Two)</w:t>
      </w:r>
      <w:r>
        <w:t xml:space="preserve"> (Nov. 19, 2017). </w:t>
      </w:r>
    </w:p>
  </w:footnote>
  <w:footnote w:id="70">
    <w:p w14:paraId="57BACC05" w14:textId="509C4E69" w:rsidR="00880298" w:rsidRDefault="00880298" w:rsidP="00880298">
      <w:pPr>
        <w:pStyle w:val="FootnoteText"/>
      </w:pPr>
      <w:r>
        <w:rPr>
          <w:rStyle w:val="FootnoteReference"/>
        </w:rPr>
        <w:footnoteRef/>
      </w:r>
      <w:r>
        <w:t xml:space="preserve"> </w:t>
      </w:r>
      <w:r>
        <w:tab/>
      </w:r>
      <w:r w:rsidRPr="00A31099">
        <w:rPr>
          <w:i/>
        </w:rPr>
        <w:t>Wat</w:t>
      </w:r>
      <w:r>
        <w:rPr>
          <w:i/>
        </w:rPr>
        <w:t>kins</w:t>
      </w:r>
      <w:r>
        <w:t xml:space="preserve">, </w:t>
      </w:r>
      <w:r w:rsidR="0044419D">
        <w:rPr>
          <w:i/>
        </w:rPr>
        <w:t xml:space="preserve">id. </w:t>
      </w:r>
      <w:r>
        <w:t xml:space="preserve">at 18. </w:t>
      </w:r>
    </w:p>
  </w:footnote>
  <w:footnote w:id="71">
    <w:p w14:paraId="4DCD4EE0" w14:textId="2927C061" w:rsidR="006D34C9" w:rsidRDefault="006D34C9">
      <w:pPr>
        <w:pStyle w:val="FootnoteText"/>
      </w:pPr>
      <w:r>
        <w:rPr>
          <w:rStyle w:val="FootnoteReference"/>
        </w:rPr>
        <w:footnoteRef/>
      </w:r>
      <w:r>
        <w:t xml:space="preserve"> </w:t>
      </w:r>
      <w:r>
        <w:tab/>
        <w:t>No. 404, 2020</w:t>
      </w:r>
      <w:r w:rsidR="006739A2" w:rsidRPr="006739A2">
        <w:rPr>
          <w:rFonts w:cs="Times New Roman"/>
          <w:color w:val="3A332D"/>
          <w:shd w:val="clear" w:color="auto" w:fill="FFFFFF"/>
        </w:rPr>
        <w:t xml:space="preserve"> (Del. Sept. 23, 2021).</w:t>
      </w:r>
    </w:p>
  </w:footnote>
  <w:footnote w:id="72">
    <w:p w14:paraId="36F67036" w14:textId="78EFD93E" w:rsidR="00653C14" w:rsidRDefault="00653C14">
      <w:pPr>
        <w:pStyle w:val="FootnoteText"/>
      </w:pPr>
      <w:r>
        <w:rPr>
          <w:rStyle w:val="FootnoteReference"/>
        </w:rPr>
        <w:footnoteRef/>
      </w:r>
      <w:r>
        <w:t xml:space="preserve"> </w:t>
      </w:r>
      <w:r>
        <w:tab/>
      </w:r>
      <w:r w:rsidRPr="00653C14">
        <w:rPr>
          <w:rFonts w:eastAsia="Times New Roman" w:cs="Times New Roman"/>
          <w:color w:val="544E4E"/>
        </w:rPr>
        <w:t>473 A.2d 805 (Del. 1984).</w:t>
      </w:r>
    </w:p>
  </w:footnote>
  <w:footnote w:id="73">
    <w:p w14:paraId="6E93B2DD" w14:textId="49B5BE3E" w:rsidR="00653C14" w:rsidRDefault="00653C14">
      <w:pPr>
        <w:pStyle w:val="FootnoteText"/>
      </w:pPr>
      <w:r>
        <w:rPr>
          <w:rStyle w:val="FootnoteReference"/>
        </w:rPr>
        <w:footnoteRef/>
      </w:r>
      <w:r>
        <w:t xml:space="preserve"> </w:t>
      </w:r>
      <w:r>
        <w:tab/>
      </w:r>
      <w:r w:rsidRPr="00653C14">
        <w:rPr>
          <w:rFonts w:eastAsia="Times New Roman" w:cs="Times New Roman"/>
          <w:color w:val="544E4E"/>
        </w:rPr>
        <w:t>634 A.2d 927 (Del. 1993).</w:t>
      </w:r>
    </w:p>
  </w:footnote>
  <w:footnote w:id="74">
    <w:p w14:paraId="00E6C776" w14:textId="5AAD7982" w:rsidR="00B06CDD" w:rsidRPr="00B06CDD" w:rsidRDefault="00B06CDD">
      <w:pPr>
        <w:pStyle w:val="FootnoteText"/>
        <w:rPr>
          <w:rStyle w:val="FootnoteChar"/>
        </w:rPr>
      </w:pPr>
      <w:r>
        <w:rPr>
          <w:rStyle w:val="FootnoteReference"/>
        </w:rPr>
        <w:footnoteRef/>
      </w:r>
      <w:r>
        <w:t xml:space="preserve"> </w:t>
      </w:r>
      <w:r>
        <w:tab/>
      </w:r>
      <w:r w:rsidRPr="00B06CDD">
        <w:rPr>
          <w:rStyle w:val="FootnoteChar"/>
        </w:rPr>
        <w:t>C.A. No. 2020-0601-JRS (Del. Ch. May 25, 2021).</w:t>
      </w:r>
    </w:p>
  </w:footnote>
  <w:footnote w:id="75">
    <w:p w14:paraId="14E96EA5" w14:textId="77777777" w:rsidR="00090872" w:rsidRDefault="00B83C24">
      <w:pPr>
        <w:pStyle w:val="FootnoteText"/>
      </w:pPr>
      <w:r>
        <w:rPr>
          <w:rStyle w:val="FootnoteReference"/>
        </w:rPr>
        <w:footnoteRef/>
      </w:r>
      <w:r>
        <w:t xml:space="preserve"> </w:t>
      </w:r>
      <w:r>
        <w:tab/>
        <w:t>The factors are:</w:t>
      </w:r>
    </w:p>
    <w:p w14:paraId="68D97318" w14:textId="323E23A0" w:rsidR="00B83C24" w:rsidRPr="004508C7" w:rsidRDefault="00B83C24" w:rsidP="00B83C24">
      <w:pPr>
        <w:pStyle w:val="Footnote"/>
        <w:numPr>
          <w:ilvl w:val="0"/>
          <w:numId w:val="33"/>
        </w:numPr>
        <w:rPr>
          <w:shd w:val="clear" w:color="auto" w:fill="FFFFFF"/>
        </w:rPr>
      </w:pPr>
      <w:r>
        <w:rPr>
          <w:shd w:val="clear" w:color="auto" w:fill="FFFFFF"/>
        </w:rPr>
        <w:t>“</w:t>
      </w:r>
      <w:r w:rsidRPr="004508C7">
        <w:rPr>
          <w:shd w:val="clear" w:color="auto" w:fill="FFFFFF"/>
        </w:rPr>
        <w:t xml:space="preserve">the degree to which allowing a reverse pierce would impair the legitimate expectations of any adversely affected shareholders who are not responsible for the conduct of the insider that gave rise to the reverse pierce claim, and the degree to which allowing a reverse pierce would establish a precedent troubling to shareholders generally; </w:t>
      </w:r>
    </w:p>
    <w:p w14:paraId="79213DD3" w14:textId="4A438B4A"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degree to which the corporate entity whose disregard is sought has exercised dominion and control over the insider who is subject to the claim by the party seeking a reverse pierce; </w:t>
      </w:r>
    </w:p>
    <w:p w14:paraId="0B4DCD41" w14:textId="1C4368E8"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degree to which the injury alleged by the person seeking a reverse pierce is related to the corporate entity's dominion and control of the insider, or to that person's reasonable reliance upon a lack of separate entity status between the insider and the corporate entity; </w:t>
      </w:r>
    </w:p>
    <w:p w14:paraId="42C7E4FE" w14:textId="611C49A5"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degree to which the public convenience, as articulated by [the Delaware General Corporation Law and Delaware's common law], would be served by allowing a reverse pierce; </w:t>
      </w:r>
    </w:p>
    <w:p w14:paraId="09A8CED3" w14:textId="15423615"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extent and severity of the wrongful conduct, if any, engaged in by the corporate entity whose disregard is sought by the insider; </w:t>
      </w:r>
    </w:p>
    <w:p w14:paraId="2C13335E" w14:textId="1CEF64DF"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possibility that the person seeking the reverse pierce is himself guilty of wrongful conduct sufficient to bar him from obtaining equitable relief; </w:t>
      </w:r>
    </w:p>
    <w:p w14:paraId="77A67842" w14:textId="25C96528" w:rsidR="00B83C24" w:rsidRPr="004508C7" w:rsidRDefault="00B83C24" w:rsidP="00B83C24">
      <w:pPr>
        <w:pStyle w:val="Footnote"/>
        <w:numPr>
          <w:ilvl w:val="0"/>
          <w:numId w:val="33"/>
        </w:numPr>
        <w:rPr>
          <w:shd w:val="clear" w:color="auto" w:fill="FFFFFF"/>
        </w:rPr>
      </w:pPr>
      <w:r w:rsidRPr="004508C7">
        <w:rPr>
          <w:shd w:val="clear" w:color="auto" w:fill="FFFFFF"/>
        </w:rPr>
        <w:t xml:space="preserve">the extent to which the reverse pierce will harm innocent third-party creditors of the entity the plaintiff seeks to reach; and </w:t>
      </w:r>
    </w:p>
    <w:p w14:paraId="64D5EECE" w14:textId="242E4CB1" w:rsidR="00B83C24" w:rsidRDefault="00B83C24" w:rsidP="00F9643F">
      <w:pPr>
        <w:pStyle w:val="Footnote"/>
        <w:numPr>
          <w:ilvl w:val="0"/>
          <w:numId w:val="33"/>
        </w:numPr>
      </w:pPr>
      <w:r w:rsidRPr="00F9643F">
        <w:rPr>
          <w:shd w:val="clear" w:color="auto" w:fill="FFFFFF"/>
        </w:rPr>
        <w:t>the extent to which other claims or remedies are practically available to the creditor at law or in equity to recover the debt.</w:t>
      </w:r>
      <w:r w:rsidR="00F9643F">
        <w:rPr>
          <w:shd w:val="clear" w:color="auto" w:fill="FFFFFF"/>
        </w:rPr>
        <w:t>”</w:t>
      </w:r>
    </w:p>
  </w:footnote>
  <w:footnote w:id="76">
    <w:p w14:paraId="71845C7B" w14:textId="350A5B85" w:rsidR="00F9643F" w:rsidRDefault="00F9643F">
      <w:pPr>
        <w:pStyle w:val="FootnoteText"/>
      </w:pPr>
      <w:r>
        <w:rPr>
          <w:rStyle w:val="FootnoteReference"/>
        </w:rPr>
        <w:footnoteRef/>
      </w:r>
      <w:r>
        <w:t xml:space="preserve"> </w:t>
      </w:r>
      <w:r>
        <w:tab/>
      </w:r>
      <w:r w:rsidRPr="004508C7">
        <w:rPr>
          <w:rFonts w:cs="Times New Roman"/>
        </w:rPr>
        <w:t xml:space="preserve">[citing </w:t>
      </w:r>
      <w:r w:rsidRPr="004508C7">
        <w:rPr>
          <w:rFonts w:cs="Times New Roman"/>
          <w:color w:val="222222"/>
          <w:shd w:val="clear" w:color="auto" w:fill="FFFFFF"/>
        </w:rPr>
        <w:t>Gregory S. Crespi,</w:t>
      </w:r>
      <w:r>
        <w:rPr>
          <w:rFonts w:cs="Times New Roman"/>
          <w:color w:val="222222"/>
          <w:shd w:val="clear" w:color="auto" w:fill="FFFFFF"/>
        </w:rPr>
        <w:t xml:space="preserve"> </w:t>
      </w:r>
      <w:r w:rsidRPr="004508C7">
        <w:rPr>
          <w:rFonts w:cs="Times New Roman"/>
          <w:i/>
          <w:iCs/>
          <w:color w:val="222222"/>
          <w:shd w:val="clear" w:color="auto" w:fill="FFFFFF"/>
        </w:rPr>
        <w:t xml:space="preserve">The Reverse Pierce Doctrine: Applying Appropriate </w:t>
      </w:r>
      <w:r w:rsidRPr="00F9643F">
        <w:rPr>
          <w:rFonts w:cs="Times New Roman"/>
          <w:color w:val="222222"/>
          <w:shd w:val="clear" w:color="auto" w:fill="FFFFFF"/>
        </w:rPr>
        <w:t>Standards</w:t>
      </w:r>
      <w:r>
        <w:rPr>
          <w:rFonts w:cs="Times New Roman"/>
          <w:color w:val="222222"/>
          <w:shd w:val="clear" w:color="auto" w:fill="FFFFFF"/>
        </w:rPr>
        <w:t xml:space="preserve">, </w:t>
      </w:r>
      <w:r w:rsidRPr="00F9643F">
        <w:rPr>
          <w:rFonts w:cs="Times New Roman"/>
          <w:color w:val="222222"/>
          <w:shd w:val="clear" w:color="auto" w:fill="FFFFFF"/>
        </w:rPr>
        <w:t>16</w:t>
      </w:r>
      <w:r w:rsidRPr="004508C7">
        <w:rPr>
          <w:rFonts w:cs="Times New Roman"/>
          <w:color w:val="222222"/>
          <w:shd w:val="clear" w:color="auto" w:fill="FFFFFF"/>
        </w:rPr>
        <w:t xml:space="preserve"> J. Corp. L. 33, 69 (1990)</w:t>
      </w:r>
      <w:r>
        <w:rPr>
          <w:rFonts w:cs="Times New Roman"/>
          <w:color w:val="222222"/>
          <w:shd w:val="clear" w:color="auto" w:fill="FFFFFF"/>
        </w:rPr>
        <w:t>.</w:t>
      </w:r>
    </w:p>
  </w:footnote>
  <w:footnote w:id="77">
    <w:p w14:paraId="20CF665C" w14:textId="03E71B22" w:rsidR="00275AD4" w:rsidRDefault="00275AD4" w:rsidP="00275AD4">
      <w:pPr>
        <w:pStyle w:val="FootnoteText"/>
      </w:pPr>
      <w:r>
        <w:rPr>
          <w:rStyle w:val="FootnoteReference"/>
        </w:rPr>
        <w:footnoteRef/>
      </w:r>
      <w:r>
        <w:t xml:space="preserve"> </w:t>
      </w:r>
      <w:r>
        <w:tab/>
      </w:r>
      <w:bookmarkStart w:id="2" w:name="_Hlk58314235"/>
      <w:r w:rsidRPr="00E22997">
        <w:t>2020 OK CIV APP 19, 466 P.3d 590</w:t>
      </w:r>
      <w:bookmarkEnd w:id="2"/>
      <w:r w:rsidR="00B06CDD">
        <w:t xml:space="preserve"> (discussed in </w:t>
      </w:r>
      <w:r w:rsidR="00B06CDD">
        <w:rPr>
          <w:shd w:val="clear" w:color="auto" w:fill="FFFFFF"/>
        </w:rPr>
        <w:t>Gary W. Derrick, Recent Developments in Oklahoma Business and Corporate Law – 2020, OBA (2020).</w:t>
      </w:r>
    </w:p>
  </w:footnote>
  <w:footnote w:id="78">
    <w:p w14:paraId="17D65AA1" w14:textId="54088FA9" w:rsidR="00402E69" w:rsidRDefault="00402E69">
      <w:pPr>
        <w:pStyle w:val="FootnoteText"/>
      </w:pPr>
      <w:r>
        <w:rPr>
          <w:rStyle w:val="FootnoteReference"/>
        </w:rPr>
        <w:footnoteRef/>
      </w:r>
      <w:r>
        <w:t xml:space="preserve"> </w:t>
      </w:r>
      <w:r>
        <w:tab/>
      </w:r>
      <w:r w:rsidR="00B06CDD">
        <w:t xml:space="preserve">C.A. </w:t>
      </w:r>
      <w:r>
        <w:t xml:space="preserve">No. CV 2020-0707-KSJM, 2021 WL 754593, at *2 (Del Ch. Feb. 26, 2021). </w:t>
      </w:r>
    </w:p>
  </w:footnote>
  <w:footnote w:id="79">
    <w:p w14:paraId="79F4DBA7" w14:textId="1657DB33" w:rsidR="009F177C" w:rsidRDefault="009F177C">
      <w:pPr>
        <w:pStyle w:val="FootnoteText"/>
      </w:pPr>
      <w:r>
        <w:rPr>
          <w:rStyle w:val="FootnoteReference"/>
        </w:rPr>
        <w:footnoteRef/>
      </w:r>
      <w:r>
        <w:t xml:space="preserve"> </w:t>
      </w:r>
      <w:r>
        <w:tab/>
      </w:r>
      <w:r w:rsidRPr="009F177C">
        <w:rPr>
          <w:i/>
          <w:iCs/>
        </w:rPr>
        <w:t>Unocal Corp. v. Mesa Petroleum Co.</w:t>
      </w:r>
      <w:r w:rsidRPr="009F177C">
        <w:t>, 493 A.2d 946 (Del. 1985).</w:t>
      </w:r>
    </w:p>
  </w:footnote>
  <w:footnote w:id="80">
    <w:p w14:paraId="79A1C029" w14:textId="4F39C995" w:rsidR="00B47AA9" w:rsidRPr="0041187B" w:rsidRDefault="00B47AA9" w:rsidP="003545EB">
      <w:pPr>
        <w:pStyle w:val="FootnoteText"/>
      </w:pPr>
      <w:r w:rsidRPr="0041187B">
        <w:rPr>
          <w:rStyle w:val="FootnoteReference"/>
        </w:rPr>
        <w:footnoteRef/>
      </w:r>
      <w:r w:rsidRPr="0041187B">
        <w:t xml:space="preserve"> </w:t>
      </w:r>
      <w:r w:rsidRPr="0041187B">
        <w:tab/>
      </w:r>
      <w:r w:rsidRPr="0041187B">
        <w:rPr>
          <w:i/>
        </w:rPr>
        <w:t xml:space="preserve">See </w:t>
      </w:r>
      <w:r>
        <w:t>“</w:t>
      </w:r>
      <w:r w:rsidRPr="0041187B">
        <w:t>Down on the Street: A Special Report on American</w:t>
      </w:r>
      <w:r>
        <w:t>’</w:t>
      </w:r>
      <w:r w:rsidRPr="0041187B">
        <w:t>s Capital Markets</w:t>
      </w:r>
      <w:r>
        <w:t>”</w:t>
      </w:r>
      <w:r w:rsidRPr="0041187B">
        <w:t xml:space="preserve">, </w:t>
      </w:r>
      <w:r w:rsidRPr="0041187B">
        <w:rPr>
          <w:i/>
          <w:iCs/>
        </w:rPr>
        <w:t>The Economist</w:t>
      </w:r>
      <w:r w:rsidRPr="0041187B">
        <w:rPr>
          <w:iCs/>
          <w:smallCaps/>
        </w:rPr>
        <w:t xml:space="preserve"> </w:t>
      </w:r>
      <w:r w:rsidRPr="0041187B">
        <w:t>(Nov. 25, 2006)</w:t>
      </w:r>
      <w:r w:rsidRPr="008A2468">
        <w:rPr>
          <w:rFonts w:cs="Times New Roman"/>
          <w:sz w:val="24"/>
        </w:rPr>
        <w:t xml:space="preserve"> </w:t>
      </w:r>
      <w:r w:rsidRPr="008A2468">
        <w:t>(“In theory, a higher standard of corporate governance should result in a higher valuation, since listing in a well-regulated market shows a commitment from a company that it will not abuse investors.”)</w:t>
      </w:r>
      <w:r w:rsidRPr="004118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E990" w14:textId="77777777" w:rsidR="00B47AA9" w:rsidRDefault="00B47A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728" w14:textId="77777777" w:rsidR="00B47AA9" w:rsidRDefault="00B4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C3659A"/>
    <w:multiLevelType w:val="hybridMultilevel"/>
    <w:tmpl w:val="578E6C12"/>
    <w:lvl w:ilvl="0" w:tplc="589015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BE5CCE"/>
    <w:multiLevelType w:val="hybridMultilevel"/>
    <w:tmpl w:val="31EEBF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248B"/>
    <w:multiLevelType w:val="multilevel"/>
    <w:tmpl w:val="593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C3668"/>
    <w:multiLevelType w:val="hybridMultilevel"/>
    <w:tmpl w:val="F2F2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61D6D"/>
    <w:multiLevelType w:val="hybridMultilevel"/>
    <w:tmpl w:val="19B21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A7D76"/>
    <w:multiLevelType w:val="hybridMultilevel"/>
    <w:tmpl w:val="CCA446FA"/>
    <w:lvl w:ilvl="0" w:tplc="70F4D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C3E"/>
    <w:multiLevelType w:val="multilevel"/>
    <w:tmpl w:val="202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4F1644"/>
    <w:multiLevelType w:val="multilevel"/>
    <w:tmpl w:val="CCD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B35B2"/>
    <w:multiLevelType w:val="multilevel"/>
    <w:tmpl w:val="5B5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70519"/>
    <w:multiLevelType w:val="multilevel"/>
    <w:tmpl w:val="893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04067"/>
    <w:multiLevelType w:val="multilevel"/>
    <w:tmpl w:val="F61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523FB"/>
    <w:multiLevelType w:val="multilevel"/>
    <w:tmpl w:val="37F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022DC"/>
    <w:multiLevelType w:val="hybridMultilevel"/>
    <w:tmpl w:val="26D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04CE9"/>
    <w:multiLevelType w:val="hybridMultilevel"/>
    <w:tmpl w:val="BC4644F2"/>
    <w:lvl w:ilvl="0" w:tplc="BDA280B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921E9"/>
    <w:multiLevelType w:val="hybridMultilevel"/>
    <w:tmpl w:val="504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919A5"/>
    <w:multiLevelType w:val="hybridMultilevel"/>
    <w:tmpl w:val="F8DA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945F1"/>
    <w:multiLevelType w:val="hybridMultilevel"/>
    <w:tmpl w:val="077429DC"/>
    <w:lvl w:ilvl="0" w:tplc="A0B26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514DD5"/>
    <w:multiLevelType w:val="multilevel"/>
    <w:tmpl w:val="309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5640D"/>
    <w:multiLevelType w:val="hybridMultilevel"/>
    <w:tmpl w:val="233AF546"/>
    <w:lvl w:ilvl="0" w:tplc="0DD0349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F01ED"/>
    <w:multiLevelType w:val="hybridMultilevel"/>
    <w:tmpl w:val="C1149B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1672F"/>
    <w:multiLevelType w:val="hybridMultilevel"/>
    <w:tmpl w:val="614C3D1A"/>
    <w:lvl w:ilvl="0" w:tplc="B9D47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5"/>
  </w:num>
  <w:num w:numId="6">
    <w:abstractNumId w:val="25"/>
  </w:num>
  <w:num w:numId="7">
    <w:abstractNumId w:val="0"/>
  </w:num>
  <w:num w:numId="8">
    <w:abstractNumId w:val="32"/>
  </w:num>
  <w:num w:numId="9">
    <w:abstractNumId w:val="12"/>
  </w:num>
  <w:num w:numId="10">
    <w:abstractNumId w:val="16"/>
  </w:num>
  <w:num w:numId="11">
    <w:abstractNumId w:val="24"/>
  </w:num>
  <w:num w:numId="12">
    <w:abstractNumId w:val="26"/>
  </w:num>
  <w:num w:numId="13">
    <w:abstractNumId w:val="14"/>
  </w:num>
  <w:num w:numId="14">
    <w:abstractNumId w:val="21"/>
  </w:num>
  <w:num w:numId="15">
    <w:abstractNumId w:val="27"/>
  </w:num>
  <w:num w:numId="16">
    <w:abstractNumId w:val="20"/>
  </w:num>
  <w:num w:numId="17">
    <w:abstractNumId w:val="6"/>
  </w:num>
  <w:num w:numId="18">
    <w:abstractNumId w:val="19"/>
  </w:num>
  <w:num w:numId="19">
    <w:abstractNumId w:val="13"/>
  </w:num>
  <w:num w:numId="20">
    <w:abstractNumId w:val="22"/>
  </w:num>
  <w:num w:numId="21">
    <w:abstractNumId w:val="29"/>
  </w:num>
  <w:num w:numId="22">
    <w:abstractNumId w:val="7"/>
  </w:num>
  <w:num w:numId="23">
    <w:abstractNumId w:val="17"/>
  </w:num>
  <w:num w:numId="24">
    <w:abstractNumId w:val="23"/>
  </w:num>
  <w:num w:numId="25">
    <w:abstractNumId w:val="28"/>
  </w:num>
  <w:num w:numId="26">
    <w:abstractNumId w:val="15"/>
  </w:num>
  <w:num w:numId="27">
    <w:abstractNumId w:val="31"/>
  </w:num>
  <w:num w:numId="28">
    <w:abstractNumId w:val="18"/>
  </w:num>
  <w:num w:numId="29">
    <w:abstractNumId w:val="4"/>
  </w:num>
  <w:num w:numId="30">
    <w:abstractNumId w:val="10"/>
  </w:num>
  <w:num w:numId="31">
    <w:abstractNumId w:val="11"/>
  </w:num>
  <w:num w:numId="32">
    <w:abstractNumId w:val="2"/>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zY3NjEzNjM0MjNQ0lEKTi0uzszPAykwrAUAM8tkpywAAAA="/>
  </w:docVars>
  <w:rsids>
    <w:rsidRoot w:val="00331B18"/>
    <w:rsid w:val="000001B0"/>
    <w:rsid w:val="0000039C"/>
    <w:rsid w:val="00000536"/>
    <w:rsid w:val="000011BC"/>
    <w:rsid w:val="000012D7"/>
    <w:rsid w:val="000018DD"/>
    <w:rsid w:val="00002283"/>
    <w:rsid w:val="000028FC"/>
    <w:rsid w:val="000041F0"/>
    <w:rsid w:val="000049B4"/>
    <w:rsid w:val="000051CB"/>
    <w:rsid w:val="00005A10"/>
    <w:rsid w:val="0000654C"/>
    <w:rsid w:val="00007895"/>
    <w:rsid w:val="00007E3A"/>
    <w:rsid w:val="000101C0"/>
    <w:rsid w:val="00010730"/>
    <w:rsid w:val="0001183A"/>
    <w:rsid w:val="000119DF"/>
    <w:rsid w:val="0001497D"/>
    <w:rsid w:val="00014D57"/>
    <w:rsid w:val="000155B9"/>
    <w:rsid w:val="00016950"/>
    <w:rsid w:val="00016DC3"/>
    <w:rsid w:val="000207F0"/>
    <w:rsid w:val="00021B8A"/>
    <w:rsid w:val="00021CD0"/>
    <w:rsid w:val="00022AC8"/>
    <w:rsid w:val="000239C6"/>
    <w:rsid w:val="00023AAA"/>
    <w:rsid w:val="0002416D"/>
    <w:rsid w:val="00025C51"/>
    <w:rsid w:val="00026C15"/>
    <w:rsid w:val="00027089"/>
    <w:rsid w:val="000279E7"/>
    <w:rsid w:val="00030585"/>
    <w:rsid w:val="00031A75"/>
    <w:rsid w:val="00031B2D"/>
    <w:rsid w:val="00031D14"/>
    <w:rsid w:val="00031E36"/>
    <w:rsid w:val="00032187"/>
    <w:rsid w:val="00032A9B"/>
    <w:rsid w:val="00033685"/>
    <w:rsid w:val="00033B6F"/>
    <w:rsid w:val="0003488F"/>
    <w:rsid w:val="00034D06"/>
    <w:rsid w:val="00034D46"/>
    <w:rsid w:val="00035248"/>
    <w:rsid w:val="00035471"/>
    <w:rsid w:val="00035B53"/>
    <w:rsid w:val="00036307"/>
    <w:rsid w:val="000365E6"/>
    <w:rsid w:val="00040AF0"/>
    <w:rsid w:val="00040CA4"/>
    <w:rsid w:val="00041338"/>
    <w:rsid w:val="000413F1"/>
    <w:rsid w:val="0004183C"/>
    <w:rsid w:val="00042D4A"/>
    <w:rsid w:val="00042D5F"/>
    <w:rsid w:val="00043140"/>
    <w:rsid w:val="0004332E"/>
    <w:rsid w:val="000434F4"/>
    <w:rsid w:val="0004410F"/>
    <w:rsid w:val="0004421A"/>
    <w:rsid w:val="000444F6"/>
    <w:rsid w:val="00045095"/>
    <w:rsid w:val="00045A98"/>
    <w:rsid w:val="00045C71"/>
    <w:rsid w:val="00046876"/>
    <w:rsid w:val="00046BF1"/>
    <w:rsid w:val="00046D3F"/>
    <w:rsid w:val="00046DB4"/>
    <w:rsid w:val="000479F9"/>
    <w:rsid w:val="000509AB"/>
    <w:rsid w:val="00050B76"/>
    <w:rsid w:val="00051D65"/>
    <w:rsid w:val="00052CB8"/>
    <w:rsid w:val="00052EEB"/>
    <w:rsid w:val="00053504"/>
    <w:rsid w:val="0005476C"/>
    <w:rsid w:val="00054BD8"/>
    <w:rsid w:val="000574DC"/>
    <w:rsid w:val="00057A67"/>
    <w:rsid w:val="000616B0"/>
    <w:rsid w:val="00062143"/>
    <w:rsid w:val="00062204"/>
    <w:rsid w:val="000627E8"/>
    <w:rsid w:val="00062A44"/>
    <w:rsid w:val="00063229"/>
    <w:rsid w:val="000639FE"/>
    <w:rsid w:val="00067741"/>
    <w:rsid w:val="0007192A"/>
    <w:rsid w:val="00071F92"/>
    <w:rsid w:val="000721C9"/>
    <w:rsid w:val="0007281C"/>
    <w:rsid w:val="00072E10"/>
    <w:rsid w:val="00072F38"/>
    <w:rsid w:val="00075A4A"/>
    <w:rsid w:val="00075CC0"/>
    <w:rsid w:val="00076698"/>
    <w:rsid w:val="00077675"/>
    <w:rsid w:val="0007799D"/>
    <w:rsid w:val="00080F3C"/>
    <w:rsid w:val="00081D8D"/>
    <w:rsid w:val="00081FB3"/>
    <w:rsid w:val="0008206D"/>
    <w:rsid w:val="00082288"/>
    <w:rsid w:val="00082418"/>
    <w:rsid w:val="0008377E"/>
    <w:rsid w:val="00084875"/>
    <w:rsid w:val="000850A0"/>
    <w:rsid w:val="000854BE"/>
    <w:rsid w:val="00085D8D"/>
    <w:rsid w:val="00086461"/>
    <w:rsid w:val="00086911"/>
    <w:rsid w:val="00087267"/>
    <w:rsid w:val="0008741E"/>
    <w:rsid w:val="00087DD2"/>
    <w:rsid w:val="00090872"/>
    <w:rsid w:val="00090E4A"/>
    <w:rsid w:val="0009110F"/>
    <w:rsid w:val="00091C44"/>
    <w:rsid w:val="00091C6E"/>
    <w:rsid w:val="00092A4D"/>
    <w:rsid w:val="00092D0E"/>
    <w:rsid w:val="000940BE"/>
    <w:rsid w:val="000947C4"/>
    <w:rsid w:val="000948B0"/>
    <w:rsid w:val="000948D0"/>
    <w:rsid w:val="000949DF"/>
    <w:rsid w:val="00095E83"/>
    <w:rsid w:val="000963B3"/>
    <w:rsid w:val="00096B4C"/>
    <w:rsid w:val="000A017D"/>
    <w:rsid w:val="000A047D"/>
    <w:rsid w:val="000A08B8"/>
    <w:rsid w:val="000A11D3"/>
    <w:rsid w:val="000A4A0A"/>
    <w:rsid w:val="000A685E"/>
    <w:rsid w:val="000A6976"/>
    <w:rsid w:val="000A6EDD"/>
    <w:rsid w:val="000A704E"/>
    <w:rsid w:val="000A76C6"/>
    <w:rsid w:val="000B18F2"/>
    <w:rsid w:val="000B2CDB"/>
    <w:rsid w:val="000B3259"/>
    <w:rsid w:val="000B3843"/>
    <w:rsid w:val="000B5464"/>
    <w:rsid w:val="000B5637"/>
    <w:rsid w:val="000B5FC2"/>
    <w:rsid w:val="000B65D5"/>
    <w:rsid w:val="000B7E30"/>
    <w:rsid w:val="000C0656"/>
    <w:rsid w:val="000C0891"/>
    <w:rsid w:val="000C0A73"/>
    <w:rsid w:val="000C1460"/>
    <w:rsid w:val="000C2771"/>
    <w:rsid w:val="000C2862"/>
    <w:rsid w:val="000C46EB"/>
    <w:rsid w:val="000C5E64"/>
    <w:rsid w:val="000C6690"/>
    <w:rsid w:val="000C6956"/>
    <w:rsid w:val="000C6E17"/>
    <w:rsid w:val="000C7D26"/>
    <w:rsid w:val="000D011E"/>
    <w:rsid w:val="000D0459"/>
    <w:rsid w:val="000D0621"/>
    <w:rsid w:val="000D25C1"/>
    <w:rsid w:val="000D32D4"/>
    <w:rsid w:val="000D40D6"/>
    <w:rsid w:val="000D42B9"/>
    <w:rsid w:val="000D4DD7"/>
    <w:rsid w:val="000D5832"/>
    <w:rsid w:val="000D5D93"/>
    <w:rsid w:val="000D70B6"/>
    <w:rsid w:val="000D7827"/>
    <w:rsid w:val="000D7D3D"/>
    <w:rsid w:val="000E10A5"/>
    <w:rsid w:val="000E1646"/>
    <w:rsid w:val="000E1FF1"/>
    <w:rsid w:val="000E2193"/>
    <w:rsid w:val="000E2687"/>
    <w:rsid w:val="000E2FDE"/>
    <w:rsid w:val="000E3BB0"/>
    <w:rsid w:val="000E4248"/>
    <w:rsid w:val="000E4A6B"/>
    <w:rsid w:val="000E5CA6"/>
    <w:rsid w:val="000E6767"/>
    <w:rsid w:val="000E677C"/>
    <w:rsid w:val="000E6A30"/>
    <w:rsid w:val="000E753E"/>
    <w:rsid w:val="000E7887"/>
    <w:rsid w:val="000E7E9D"/>
    <w:rsid w:val="000F0EF2"/>
    <w:rsid w:val="000F20CC"/>
    <w:rsid w:val="000F4580"/>
    <w:rsid w:val="00100CFA"/>
    <w:rsid w:val="00100D9C"/>
    <w:rsid w:val="00101464"/>
    <w:rsid w:val="00101F1A"/>
    <w:rsid w:val="00103B33"/>
    <w:rsid w:val="00104774"/>
    <w:rsid w:val="0010551A"/>
    <w:rsid w:val="00105631"/>
    <w:rsid w:val="00105B8D"/>
    <w:rsid w:val="00110481"/>
    <w:rsid w:val="001108EF"/>
    <w:rsid w:val="0011131D"/>
    <w:rsid w:val="0011272D"/>
    <w:rsid w:val="00112FF2"/>
    <w:rsid w:val="0011334A"/>
    <w:rsid w:val="0011518C"/>
    <w:rsid w:val="001151BA"/>
    <w:rsid w:val="00115463"/>
    <w:rsid w:val="00116294"/>
    <w:rsid w:val="0011660D"/>
    <w:rsid w:val="00117D2A"/>
    <w:rsid w:val="001210C5"/>
    <w:rsid w:val="001216A9"/>
    <w:rsid w:val="00121D2C"/>
    <w:rsid w:val="00121E44"/>
    <w:rsid w:val="001224AF"/>
    <w:rsid w:val="00123120"/>
    <w:rsid w:val="001234FB"/>
    <w:rsid w:val="001242E3"/>
    <w:rsid w:val="0012436E"/>
    <w:rsid w:val="00125ABA"/>
    <w:rsid w:val="00125C26"/>
    <w:rsid w:val="0012730F"/>
    <w:rsid w:val="0013038C"/>
    <w:rsid w:val="00130EA0"/>
    <w:rsid w:val="00131209"/>
    <w:rsid w:val="00131FBF"/>
    <w:rsid w:val="00132081"/>
    <w:rsid w:val="001324E7"/>
    <w:rsid w:val="0013493B"/>
    <w:rsid w:val="00134AE1"/>
    <w:rsid w:val="00134E9E"/>
    <w:rsid w:val="00134EE9"/>
    <w:rsid w:val="001363DA"/>
    <w:rsid w:val="00137533"/>
    <w:rsid w:val="001375CC"/>
    <w:rsid w:val="00137CA2"/>
    <w:rsid w:val="00140A80"/>
    <w:rsid w:val="00140BD6"/>
    <w:rsid w:val="0014181A"/>
    <w:rsid w:val="00141D0A"/>
    <w:rsid w:val="0014214C"/>
    <w:rsid w:val="00145064"/>
    <w:rsid w:val="00147451"/>
    <w:rsid w:val="001479BA"/>
    <w:rsid w:val="001508F1"/>
    <w:rsid w:val="00151FA8"/>
    <w:rsid w:val="00151FFE"/>
    <w:rsid w:val="001526C6"/>
    <w:rsid w:val="00152859"/>
    <w:rsid w:val="001529B9"/>
    <w:rsid w:val="001537B4"/>
    <w:rsid w:val="0015437A"/>
    <w:rsid w:val="0015482D"/>
    <w:rsid w:val="001548BB"/>
    <w:rsid w:val="00155149"/>
    <w:rsid w:val="00155483"/>
    <w:rsid w:val="0015589B"/>
    <w:rsid w:val="00155E84"/>
    <w:rsid w:val="00156683"/>
    <w:rsid w:val="0016065E"/>
    <w:rsid w:val="00160815"/>
    <w:rsid w:val="001617BF"/>
    <w:rsid w:val="00161812"/>
    <w:rsid w:val="00161F68"/>
    <w:rsid w:val="001622BF"/>
    <w:rsid w:val="00163A7B"/>
    <w:rsid w:val="00163BFC"/>
    <w:rsid w:val="00163D2D"/>
    <w:rsid w:val="00163E31"/>
    <w:rsid w:val="001646C6"/>
    <w:rsid w:val="00166C37"/>
    <w:rsid w:val="00170245"/>
    <w:rsid w:val="00170A58"/>
    <w:rsid w:val="001734EC"/>
    <w:rsid w:val="0017391A"/>
    <w:rsid w:val="00174B12"/>
    <w:rsid w:val="00174F51"/>
    <w:rsid w:val="00175065"/>
    <w:rsid w:val="00176004"/>
    <w:rsid w:val="00176431"/>
    <w:rsid w:val="0017726D"/>
    <w:rsid w:val="001773FA"/>
    <w:rsid w:val="00180F2A"/>
    <w:rsid w:val="00181DF5"/>
    <w:rsid w:val="001820FD"/>
    <w:rsid w:val="00184E0B"/>
    <w:rsid w:val="001855AB"/>
    <w:rsid w:val="00185C4A"/>
    <w:rsid w:val="001871EE"/>
    <w:rsid w:val="001900F3"/>
    <w:rsid w:val="00190287"/>
    <w:rsid w:val="0019071B"/>
    <w:rsid w:val="0019080D"/>
    <w:rsid w:val="00191030"/>
    <w:rsid w:val="00191CBD"/>
    <w:rsid w:val="001939D1"/>
    <w:rsid w:val="001956F2"/>
    <w:rsid w:val="00195FB2"/>
    <w:rsid w:val="00196191"/>
    <w:rsid w:val="0019625B"/>
    <w:rsid w:val="00196859"/>
    <w:rsid w:val="00196C1B"/>
    <w:rsid w:val="00196EFF"/>
    <w:rsid w:val="001972B6"/>
    <w:rsid w:val="001A0092"/>
    <w:rsid w:val="001A017C"/>
    <w:rsid w:val="001A0563"/>
    <w:rsid w:val="001A17BA"/>
    <w:rsid w:val="001A2F3C"/>
    <w:rsid w:val="001A3179"/>
    <w:rsid w:val="001A3EE3"/>
    <w:rsid w:val="001A4AEA"/>
    <w:rsid w:val="001A4B41"/>
    <w:rsid w:val="001A5586"/>
    <w:rsid w:val="001A5F1E"/>
    <w:rsid w:val="001A685E"/>
    <w:rsid w:val="001A7710"/>
    <w:rsid w:val="001B0836"/>
    <w:rsid w:val="001B0CA4"/>
    <w:rsid w:val="001B2782"/>
    <w:rsid w:val="001B3687"/>
    <w:rsid w:val="001B4B54"/>
    <w:rsid w:val="001B5F35"/>
    <w:rsid w:val="001B788C"/>
    <w:rsid w:val="001C0913"/>
    <w:rsid w:val="001C35FF"/>
    <w:rsid w:val="001C4007"/>
    <w:rsid w:val="001C5721"/>
    <w:rsid w:val="001C66AD"/>
    <w:rsid w:val="001D0722"/>
    <w:rsid w:val="001D0D73"/>
    <w:rsid w:val="001D1225"/>
    <w:rsid w:val="001D1259"/>
    <w:rsid w:val="001D1709"/>
    <w:rsid w:val="001D1749"/>
    <w:rsid w:val="001D1AE4"/>
    <w:rsid w:val="001D2FA5"/>
    <w:rsid w:val="001D39CA"/>
    <w:rsid w:val="001D3A83"/>
    <w:rsid w:val="001D4010"/>
    <w:rsid w:val="001D4BB9"/>
    <w:rsid w:val="001D5448"/>
    <w:rsid w:val="001D55C7"/>
    <w:rsid w:val="001D56B3"/>
    <w:rsid w:val="001D577B"/>
    <w:rsid w:val="001D5D49"/>
    <w:rsid w:val="001D614D"/>
    <w:rsid w:val="001D682F"/>
    <w:rsid w:val="001D6944"/>
    <w:rsid w:val="001D7A78"/>
    <w:rsid w:val="001E0717"/>
    <w:rsid w:val="001E10F7"/>
    <w:rsid w:val="001E16C0"/>
    <w:rsid w:val="001E2BD3"/>
    <w:rsid w:val="001E3648"/>
    <w:rsid w:val="001E529F"/>
    <w:rsid w:val="001E5E0C"/>
    <w:rsid w:val="001E608C"/>
    <w:rsid w:val="001E6579"/>
    <w:rsid w:val="001E7546"/>
    <w:rsid w:val="001E76A8"/>
    <w:rsid w:val="001E7CCC"/>
    <w:rsid w:val="001F05FC"/>
    <w:rsid w:val="001F163C"/>
    <w:rsid w:val="001F1BE6"/>
    <w:rsid w:val="001F1E8B"/>
    <w:rsid w:val="001F27C4"/>
    <w:rsid w:val="001F296A"/>
    <w:rsid w:val="001F3DDC"/>
    <w:rsid w:val="001F41D1"/>
    <w:rsid w:val="001F41E9"/>
    <w:rsid w:val="001F4334"/>
    <w:rsid w:val="001F4C97"/>
    <w:rsid w:val="001F53CA"/>
    <w:rsid w:val="001F5915"/>
    <w:rsid w:val="001F5CB6"/>
    <w:rsid w:val="001F6D6B"/>
    <w:rsid w:val="001F6E69"/>
    <w:rsid w:val="001F7536"/>
    <w:rsid w:val="001F7573"/>
    <w:rsid w:val="001F76C4"/>
    <w:rsid w:val="002002F4"/>
    <w:rsid w:val="00200531"/>
    <w:rsid w:val="002006FA"/>
    <w:rsid w:val="0020134F"/>
    <w:rsid w:val="0020288E"/>
    <w:rsid w:val="002035CA"/>
    <w:rsid w:val="00203E3D"/>
    <w:rsid w:val="00204057"/>
    <w:rsid w:val="00204646"/>
    <w:rsid w:val="00204DB9"/>
    <w:rsid w:val="00204FCB"/>
    <w:rsid w:val="002052CC"/>
    <w:rsid w:val="00205A98"/>
    <w:rsid w:val="00207547"/>
    <w:rsid w:val="00211C4B"/>
    <w:rsid w:val="002150F3"/>
    <w:rsid w:val="00215170"/>
    <w:rsid w:val="00215A7B"/>
    <w:rsid w:val="00216113"/>
    <w:rsid w:val="00216127"/>
    <w:rsid w:val="002178AA"/>
    <w:rsid w:val="00221306"/>
    <w:rsid w:val="0022170D"/>
    <w:rsid w:val="00221BFB"/>
    <w:rsid w:val="00221C5E"/>
    <w:rsid w:val="00222FE6"/>
    <w:rsid w:val="00224E39"/>
    <w:rsid w:val="00225004"/>
    <w:rsid w:val="0022589D"/>
    <w:rsid w:val="00225C75"/>
    <w:rsid w:val="00225F4C"/>
    <w:rsid w:val="00226707"/>
    <w:rsid w:val="00226BAD"/>
    <w:rsid w:val="00227651"/>
    <w:rsid w:val="00231B0C"/>
    <w:rsid w:val="00232649"/>
    <w:rsid w:val="00232B4C"/>
    <w:rsid w:val="00233B4A"/>
    <w:rsid w:val="002344CA"/>
    <w:rsid w:val="00234CB9"/>
    <w:rsid w:val="00234D7A"/>
    <w:rsid w:val="00236C86"/>
    <w:rsid w:val="0023705C"/>
    <w:rsid w:val="002376EC"/>
    <w:rsid w:val="002409A4"/>
    <w:rsid w:val="00241331"/>
    <w:rsid w:val="002413EA"/>
    <w:rsid w:val="002422BF"/>
    <w:rsid w:val="0024256B"/>
    <w:rsid w:val="00242B9B"/>
    <w:rsid w:val="0024312F"/>
    <w:rsid w:val="002449BA"/>
    <w:rsid w:val="00245D14"/>
    <w:rsid w:val="002468EF"/>
    <w:rsid w:val="00247215"/>
    <w:rsid w:val="0024795F"/>
    <w:rsid w:val="00247DCE"/>
    <w:rsid w:val="00251150"/>
    <w:rsid w:val="00251230"/>
    <w:rsid w:val="00251315"/>
    <w:rsid w:val="00253335"/>
    <w:rsid w:val="0025362F"/>
    <w:rsid w:val="002538C5"/>
    <w:rsid w:val="00253A06"/>
    <w:rsid w:val="00253A66"/>
    <w:rsid w:val="0025491A"/>
    <w:rsid w:val="00254B8B"/>
    <w:rsid w:val="00255721"/>
    <w:rsid w:val="00255D17"/>
    <w:rsid w:val="00255E1F"/>
    <w:rsid w:val="00255F7D"/>
    <w:rsid w:val="002569DB"/>
    <w:rsid w:val="00257D4D"/>
    <w:rsid w:val="00257DCF"/>
    <w:rsid w:val="00260142"/>
    <w:rsid w:val="002609B0"/>
    <w:rsid w:val="00260C8D"/>
    <w:rsid w:val="00260F7B"/>
    <w:rsid w:val="00261E45"/>
    <w:rsid w:val="00262766"/>
    <w:rsid w:val="00262C31"/>
    <w:rsid w:val="00264B60"/>
    <w:rsid w:val="00264DFC"/>
    <w:rsid w:val="002652E7"/>
    <w:rsid w:val="00265C0B"/>
    <w:rsid w:val="00266133"/>
    <w:rsid w:val="002672AD"/>
    <w:rsid w:val="00267513"/>
    <w:rsid w:val="002703CC"/>
    <w:rsid w:val="0027080D"/>
    <w:rsid w:val="00271035"/>
    <w:rsid w:val="0027188A"/>
    <w:rsid w:val="002726C2"/>
    <w:rsid w:val="002727D7"/>
    <w:rsid w:val="002736B3"/>
    <w:rsid w:val="00273C86"/>
    <w:rsid w:val="00273E8D"/>
    <w:rsid w:val="00273EDE"/>
    <w:rsid w:val="0027451C"/>
    <w:rsid w:val="00274826"/>
    <w:rsid w:val="002749BF"/>
    <w:rsid w:val="00275AD4"/>
    <w:rsid w:val="00276B34"/>
    <w:rsid w:val="00276E70"/>
    <w:rsid w:val="0027741D"/>
    <w:rsid w:val="002801BA"/>
    <w:rsid w:val="002801F0"/>
    <w:rsid w:val="00280BC3"/>
    <w:rsid w:val="00280C31"/>
    <w:rsid w:val="00281BFE"/>
    <w:rsid w:val="00281EBE"/>
    <w:rsid w:val="0028278D"/>
    <w:rsid w:val="00283655"/>
    <w:rsid w:val="00283A4F"/>
    <w:rsid w:val="00284751"/>
    <w:rsid w:val="002853B1"/>
    <w:rsid w:val="00286161"/>
    <w:rsid w:val="0028668A"/>
    <w:rsid w:val="0028796C"/>
    <w:rsid w:val="00287E4E"/>
    <w:rsid w:val="002905A0"/>
    <w:rsid w:val="00290D79"/>
    <w:rsid w:val="002911D8"/>
    <w:rsid w:val="00292C62"/>
    <w:rsid w:val="0029350F"/>
    <w:rsid w:val="00293DDD"/>
    <w:rsid w:val="0029425F"/>
    <w:rsid w:val="002945EB"/>
    <w:rsid w:val="00294A09"/>
    <w:rsid w:val="00295E3D"/>
    <w:rsid w:val="00295E8A"/>
    <w:rsid w:val="002976AD"/>
    <w:rsid w:val="00297C75"/>
    <w:rsid w:val="002A09A1"/>
    <w:rsid w:val="002A12DE"/>
    <w:rsid w:val="002A1A14"/>
    <w:rsid w:val="002A23EB"/>
    <w:rsid w:val="002A31FA"/>
    <w:rsid w:val="002A3B27"/>
    <w:rsid w:val="002A58AC"/>
    <w:rsid w:val="002A6E84"/>
    <w:rsid w:val="002A727E"/>
    <w:rsid w:val="002A79EF"/>
    <w:rsid w:val="002A7AF7"/>
    <w:rsid w:val="002B003F"/>
    <w:rsid w:val="002B08AC"/>
    <w:rsid w:val="002B0E3E"/>
    <w:rsid w:val="002B1022"/>
    <w:rsid w:val="002B1641"/>
    <w:rsid w:val="002B186A"/>
    <w:rsid w:val="002B1934"/>
    <w:rsid w:val="002B2605"/>
    <w:rsid w:val="002B4470"/>
    <w:rsid w:val="002B6662"/>
    <w:rsid w:val="002B7C86"/>
    <w:rsid w:val="002C15E9"/>
    <w:rsid w:val="002C2D1E"/>
    <w:rsid w:val="002C2DCC"/>
    <w:rsid w:val="002C3065"/>
    <w:rsid w:val="002C33EF"/>
    <w:rsid w:val="002C3691"/>
    <w:rsid w:val="002C37DD"/>
    <w:rsid w:val="002C464A"/>
    <w:rsid w:val="002C52D9"/>
    <w:rsid w:val="002C5D57"/>
    <w:rsid w:val="002C6C23"/>
    <w:rsid w:val="002C7040"/>
    <w:rsid w:val="002C7609"/>
    <w:rsid w:val="002C78D9"/>
    <w:rsid w:val="002D073A"/>
    <w:rsid w:val="002D0B8D"/>
    <w:rsid w:val="002D1D56"/>
    <w:rsid w:val="002D3072"/>
    <w:rsid w:val="002D31E4"/>
    <w:rsid w:val="002D3219"/>
    <w:rsid w:val="002D3AC4"/>
    <w:rsid w:val="002D45FA"/>
    <w:rsid w:val="002D5963"/>
    <w:rsid w:val="002D7016"/>
    <w:rsid w:val="002D78C6"/>
    <w:rsid w:val="002E074E"/>
    <w:rsid w:val="002E28C3"/>
    <w:rsid w:val="002E438E"/>
    <w:rsid w:val="002E46C1"/>
    <w:rsid w:val="002E5BEE"/>
    <w:rsid w:val="002E76CE"/>
    <w:rsid w:val="002F0A4B"/>
    <w:rsid w:val="002F0C20"/>
    <w:rsid w:val="002F19DD"/>
    <w:rsid w:val="002F29E9"/>
    <w:rsid w:val="002F2FBB"/>
    <w:rsid w:val="002F3219"/>
    <w:rsid w:val="002F489B"/>
    <w:rsid w:val="002F4E1F"/>
    <w:rsid w:val="002F530F"/>
    <w:rsid w:val="002F5451"/>
    <w:rsid w:val="002F6A31"/>
    <w:rsid w:val="002F6D5C"/>
    <w:rsid w:val="00301840"/>
    <w:rsid w:val="00302652"/>
    <w:rsid w:val="003026A0"/>
    <w:rsid w:val="00302E29"/>
    <w:rsid w:val="0030407F"/>
    <w:rsid w:val="00304233"/>
    <w:rsid w:val="00304D2D"/>
    <w:rsid w:val="003052C6"/>
    <w:rsid w:val="0030552B"/>
    <w:rsid w:val="00306254"/>
    <w:rsid w:val="00306260"/>
    <w:rsid w:val="00306BE1"/>
    <w:rsid w:val="00306D03"/>
    <w:rsid w:val="0031008B"/>
    <w:rsid w:val="00310493"/>
    <w:rsid w:val="00311BA9"/>
    <w:rsid w:val="00313DEB"/>
    <w:rsid w:val="00314910"/>
    <w:rsid w:val="00316339"/>
    <w:rsid w:val="00316C40"/>
    <w:rsid w:val="0031700E"/>
    <w:rsid w:val="003203CD"/>
    <w:rsid w:val="00320BDB"/>
    <w:rsid w:val="0032118C"/>
    <w:rsid w:val="00322320"/>
    <w:rsid w:val="003224B7"/>
    <w:rsid w:val="00322BD5"/>
    <w:rsid w:val="00322C83"/>
    <w:rsid w:val="0032313C"/>
    <w:rsid w:val="003234B2"/>
    <w:rsid w:val="00323510"/>
    <w:rsid w:val="003247F1"/>
    <w:rsid w:val="00324B1F"/>
    <w:rsid w:val="00324BE4"/>
    <w:rsid w:val="003260B2"/>
    <w:rsid w:val="00326F37"/>
    <w:rsid w:val="00327076"/>
    <w:rsid w:val="003270C9"/>
    <w:rsid w:val="00330505"/>
    <w:rsid w:val="00330C8D"/>
    <w:rsid w:val="003319CF"/>
    <w:rsid w:val="00331B18"/>
    <w:rsid w:val="00331C6B"/>
    <w:rsid w:val="00331D76"/>
    <w:rsid w:val="0033290D"/>
    <w:rsid w:val="00332D11"/>
    <w:rsid w:val="003336B1"/>
    <w:rsid w:val="003336DD"/>
    <w:rsid w:val="00333F69"/>
    <w:rsid w:val="003341C5"/>
    <w:rsid w:val="00334443"/>
    <w:rsid w:val="0033472E"/>
    <w:rsid w:val="00337520"/>
    <w:rsid w:val="00337E09"/>
    <w:rsid w:val="0034033F"/>
    <w:rsid w:val="00340DC8"/>
    <w:rsid w:val="0034120B"/>
    <w:rsid w:val="003417B5"/>
    <w:rsid w:val="00341971"/>
    <w:rsid w:val="0034201C"/>
    <w:rsid w:val="0034259B"/>
    <w:rsid w:val="00343D49"/>
    <w:rsid w:val="00346655"/>
    <w:rsid w:val="003475D9"/>
    <w:rsid w:val="00350898"/>
    <w:rsid w:val="00350DD5"/>
    <w:rsid w:val="00350F69"/>
    <w:rsid w:val="00351079"/>
    <w:rsid w:val="00351A36"/>
    <w:rsid w:val="0035208F"/>
    <w:rsid w:val="00352B90"/>
    <w:rsid w:val="003533F4"/>
    <w:rsid w:val="00353A9C"/>
    <w:rsid w:val="003545EB"/>
    <w:rsid w:val="00354FF4"/>
    <w:rsid w:val="00355072"/>
    <w:rsid w:val="00355A18"/>
    <w:rsid w:val="00355A66"/>
    <w:rsid w:val="00355AC7"/>
    <w:rsid w:val="003602D3"/>
    <w:rsid w:val="003605E9"/>
    <w:rsid w:val="00361023"/>
    <w:rsid w:val="00361092"/>
    <w:rsid w:val="00361961"/>
    <w:rsid w:val="00361D52"/>
    <w:rsid w:val="00361E94"/>
    <w:rsid w:val="00363BC9"/>
    <w:rsid w:val="00364584"/>
    <w:rsid w:val="00364BE8"/>
    <w:rsid w:val="00364C8A"/>
    <w:rsid w:val="0036536D"/>
    <w:rsid w:val="0036561A"/>
    <w:rsid w:val="0036568C"/>
    <w:rsid w:val="0036574B"/>
    <w:rsid w:val="00367E4F"/>
    <w:rsid w:val="0037010A"/>
    <w:rsid w:val="00370DFE"/>
    <w:rsid w:val="0037140E"/>
    <w:rsid w:val="00371BC1"/>
    <w:rsid w:val="00371D3B"/>
    <w:rsid w:val="00372C05"/>
    <w:rsid w:val="00373A41"/>
    <w:rsid w:val="00373B59"/>
    <w:rsid w:val="003744FB"/>
    <w:rsid w:val="0037475D"/>
    <w:rsid w:val="0037484D"/>
    <w:rsid w:val="003748AE"/>
    <w:rsid w:val="003755FD"/>
    <w:rsid w:val="003773D8"/>
    <w:rsid w:val="003776F2"/>
    <w:rsid w:val="003777E4"/>
    <w:rsid w:val="003803CA"/>
    <w:rsid w:val="003807A3"/>
    <w:rsid w:val="00380F80"/>
    <w:rsid w:val="00380FF5"/>
    <w:rsid w:val="003814AB"/>
    <w:rsid w:val="00381AAD"/>
    <w:rsid w:val="00383835"/>
    <w:rsid w:val="00384E86"/>
    <w:rsid w:val="00385780"/>
    <w:rsid w:val="00385845"/>
    <w:rsid w:val="00386642"/>
    <w:rsid w:val="00386F3F"/>
    <w:rsid w:val="00387460"/>
    <w:rsid w:val="0039042A"/>
    <w:rsid w:val="00393447"/>
    <w:rsid w:val="00394756"/>
    <w:rsid w:val="00395594"/>
    <w:rsid w:val="003960B4"/>
    <w:rsid w:val="00396A1D"/>
    <w:rsid w:val="0039797C"/>
    <w:rsid w:val="003A0125"/>
    <w:rsid w:val="003A0530"/>
    <w:rsid w:val="003A178B"/>
    <w:rsid w:val="003A18BD"/>
    <w:rsid w:val="003A23A6"/>
    <w:rsid w:val="003A2A64"/>
    <w:rsid w:val="003A2B29"/>
    <w:rsid w:val="003A36A9"/>
    <w:rsid w:val="003A3C17"/>
    <w:rsid w:val="003A494F"/>
    <w:rsid w:val="003A4D6B"/>
    <w:rsid w:val="003A5602"/>
    <w:rsid w:val="003A5C59"/>
    <w:rsid w:val="003A6184"/>
    <w:rsid w:val="003A66E2"/>
    <w:rsid w:val="003A6B4F"/>
    <w:rsid w:val="003A6CC8"/>
    <w:rsid w:val="003A769D"/>
    <w:rsid w:val="003A7817"/>
    <w:rsid w:val="003A7A6D"/>
    <w:rsid w:val="003A7B0F"/>
    <w:rsid w:val="003B203A"/>
    <w:rsid w:val="003B2FFD"/>
    <w:rsid w:val="003B36E8"/>
    <w:rsid w:val="003B4871"/>
    <w:rsid w:val="003B56ED"/>
    <w:rsid w:val="003B5C60"/>
    <w:rsid w:val="003B6294"/>
    <w:rsid w:val="003B7172"/>
    <w:rsid w:val="003C01AA"/>
    <w:rsid w:val="003C0E92"/>
    <w:rsid w:val="003C2163"/>
    <w:rsid w:val="003C219B"/>
    <w:rsid w:val="003C2533"/>
    <w:rsid w:val="003C2E6B"/>
    <w:rsid w:val="003C44C8"/>
    <w:rsid w:val="003C5041"/>
    <w:rsid w:val="003C7031"/>
    <w:rsid w:val="003C7394"/>
    <w:rsid w:val="003C7834"/>
    <w:rsid w:val="003C7AB6"/>
    <w:rsid w:val="003D0766"/>
    <w:rsid w:val="003D1086"/>
    <w:rsid w:val="003D1C4D"/>
    <w:rsid w:val="003D3088"/>
    <w:rsid w:val="003D4140"/>
    <w:rsid w:val="003D5161"/>
    <w:rsid w:val="003D527E"/>
    <w:rsid w:val="003D6401"/>
    <w:rsid w:val="003D66E5"/>
    <w:rsid w:val="003D6C72"/>
    <w:rsid w:val="003D7781"/>
    <w:rsid w:val="003E0361"/>
    <w:rsid w:val="003E07EE"/>
    <w:rsid w:val="003E1AB6"/>
    <w:rsid w:val="003E1BAA"/>
    <w:rsid w:val="003E2326"/>
    <w:rsid w:val="003E26A5"/>
    <w:rsid w:val="003E2EFE"/>
    <w:rsid w:val="003E3463"/>
    <w:rsid w:val="003E3B7F"/>
    <w:rsid w:val="003E3B90"/>
    <w:rsid w:val="003E3CCC"/>
    <w:rsid w:val="003E4953"/>
    <w:rsid w:val="003E535E"/>
    <w:rsid w:val="003E5D5F"/>
    <w:rsid w:val="003E6B2C"/>
    <w:rsid w:val="003F022F"/>
    <w:rsid w:val="003F02E4"/>
    <w:rsid w:val="003F0B6A"/>
    <w:rsid w:val="003F0BA0"/>
    <w:rsid w:val="003F1659"/>
    <w:rsid w:val="003F218B"/>
    <w:rsid w:val="003F2A23"/>
    <w:rsid w:val="003F2D74"/>
    <w:rsid w:val="003F3F06"/>
    <w:rsid w:val="003F5CFD"/>
    <w:rsid w:val="003F764E"/>
    <w:rsid w:val="004006A8"/>
    <w:rsid w:val="004020CC"/>
    <w:rsid w:val="00402E69"/>
    <w:rsid w:val="004030C2"/>
    <w:rsid w:val="00403C44"/>
    <w:rsid w:val="004065B4"/>
    <w:rsid w:val="00406C0F"/>
    <w:rsid w:val="004076BF"/>
    <w:rsid w:val="0040788A"/>
    <w:rsid w:val="00407DE3"/>
    <w:rsid w:val="00410D43"/>
    <w:rsid w:val="0041187B"/>
    <w:rsid w:val="00412206"/>
    <w:rsid w:val="0041256C"/>
    <w:rsid w:val="00412A82"/>
    <w:rsid w:val="00412DD6"/>
    <w:rsid w:val="00413634"/>
    <w:rsid w:val="0041411E"/>
    <w:rsid w:val="004153E1"/>
    <w:rsid w:val="00416903"/>
    <w:rsid w:val="00417D83"/>
    <w:rsid w:val="00417DD3"/>
    <w:rsid w:val="00420250"/>
    <w:rsid w:val="0042085E"/>
    <w:rsid w:val="00420C94"/>
    <w:rsid w:val="00421023"/>
    <w:rsid w:val="00421512"/>
    <w:rsid w:val="00421C6A"/>
    <w:rsid w:val="004234EB"/>
    <w:rsid w:val="0042385B"/>
    <w:rsid w:val="00423CCF"/>
    <w:rsid w:val="00424CB5"/>
    <w:rsid w:val="00425008"/>
    <w:rsid w:val="00425162"/>
    <w:rsid w:val="00425B16"/>
    <w:rsid w:val="0042660C"/>
    <w:rsid w:val="00426F64"/>
    <w:rsid w:val="00427AAB"/>
    <w:rsid w:val="004306B0"/>
    <w:rsid w:val="00432ACF"/>
    <w:rsid w:val="004353C2"/>
    <w:rsid w:val="00435F08"/>
    <w:rsid w:val="004368E6"/>
    <w:rsid w:val="004375C4"/>
    <w:rsid w:val="004407E5"/>
    <w:rsid w:val="00440F60"/>
    <w:rsid w:val="0044263D"/>
    <w:rsid w:val="00442786"/>
    <w:rsid w:val="00442AB4"/>
    <w:rsid w:val="004433B6"/>
    <w:rsid w:val="0044419D"/>
    <w:rsid w:val="00444EFF"/>
    <w:rsid w:val="00445193"/>
    <w:rsid w:val="0044540A"/>
    <w:rsid w:val="004456F2"/>
    <w:rsid w:val="004459AA"/>
    <w:rsid w:val="00446535"/>
    <w:rsid w:val="00446BE4"/>
    <w:rsid w:val="004470CF"/>
    <w:rsid w:val="00447B6C"/>
    <w:rsid w:val="00450B80"/>
    <w:rsid w:val="004510EE"/>
    <w:rsid w:val="004523E6"/>
    <w:rsid w:val="00452A6E"/>
    <w:rsid w:val="00452C37"/>
    <w:rsid w:val="004536CD"/>
    <w:rsid w:val="00453D57"/>
    <w:rsid w:val="00454582"/>
    <w:rsid w:val="00455ADC"/>
    <w:rsid w:val="0045648A"/>
    <w:rsid w:val="0045735D"/>
    <w:rsid w:val="00457419"/>
    <w:rsid w:val="00457943"/>
    <w:rsid w:val="00457AC4"/>
    <w:rsid w:val="0046094C"/>
    <w:rsid w:val="00461422"/>
    <w:rsid w:val="00461BBC"/>
    <w:rsid w:val="00461DEE"/>
    <w:rsid w:val="004629C7"/>
    <w:rsid w:val="0046345D"/>
    <w:rsid w:val="004646B4"/>
    <w:rsid w:val="004646C1"/>
    <w:rsid w:val="00464B3B"/>
    <w:rsid w:val="00464F10"/>
    <w:rsid w:val="00465BD7"/>
    <w:rsid w:val="004663BA"/>
    <w:rsid w:val="004667EF"/>
    <w:rsid w:val="00467F06"/>
    <w:rsid w:val="004700FD"/>
    <w:rsid w:val="004704A2"/>
    <w:rsid w:val="00471714"/>
    <w:rsid w:val="0047187B"/>
    <w:rsid w:val="00472030"/>
    <w:rsid w:val="00472CBC"/>
    <w:rsid w:val="004733C1"/>
    <w:rsid w:val="00474391"/>
    <w:rsid w:val="00476B1D"/>
    <w:rsid w:val="00476B9F"/>
    <w:rsid w:val="00476DD3"/>
    <w:rsid w:val="004771CF"/>
    <w:rsid w:val="004775A4"/>
    <w:rsid w:val="00477B94"/>
    <w:rsid w:val="004807A2"/>
    <w:rsid w:val="00480F24"/>
    <w:rsid w:val="004817A6"/>
    <w:rsid w:val="00482209"/>
    <w:rsid w:val="00482460"/>
    <w:rsid w:val="004833E6"/>
    <w:rsid w:val="00483CFF"/>
    <w:rsid w:val="00483DEA"/>
    <w:rsid w:val="004843D6"/>
    <w:rsid w:val="004849C6"/>
    <w:rsid w:val="00485EB9"/>
    <w:rsid w:val="00486E3D"/>
    <w:rsid w:val="004918DF"/>
    <w:rsid w:val="00491DB2"/>
    <w:rsid w:val="00491EC2"/>
    <w:rsid w:val="00491F61"/>
    <w:rsid w:val="004934D0"/>
    <w:rsid w:val="004936CF"/>
    <w:rsid w:val="004938CA"/>
    <w:rsid w:val="004938F1"/>
    <w:rsid w:val="00493D88"/>
    <w:rsid w:val="00494286"/>
    <w:rsid w:val="00494BF7"/>
    <w:rsid w:val="00495633"/>
    <w:rsid w:val="00495CEE"/>
    <w:rsid w:val="00495FE9"/>
    <w:rsid w:val="00496420"/>
    <w:rsid w:val="00496B66"/>
    <w:rsid w:val="004976EB"/>
    <w:rsid w:val="004A114D"/>
    <w:rsid w:val="004A1397"/>
    <w:rsid w:val="004A1426"/>
    <w:rsid w:val="004A1BE8"/>
    <w:rsid w:val="004A20F3"/>
    <w:rsid w:val="004A2145"/>
    <w:rsid w:val="004A2571"/>
    <w:rsid w:val="004A285B"/>
    <w:rsid w:val="004A3584"/>
    <w:rsid w:val="004A47B5"/>
    <w:rsid w:val="004A54AA"/>
    <w:rsid w:val="004A5E79"/>
    <w:rsid w:val="004A60F0"/>
    <w:rsid w:val="004A6F4B"/>
    <w:rsid w:val="004B0E5F"/>
    <w:rsid w:val="004B14F7"/>
    <w:rsid w:val="004B16B6"/>
    <w:rsid w:val="004B1B6A"/>
    <w:rsid w:val="004B1FFD"/>
    <w:rsid w:val="004B2126"/>
    <w:rsid w:val="004B3D91"/>
    <w:rsid w:val="004B6130"/>
    <w:rsid w:val="004B63CA"/>
    <w:rsid w:val="004B6EE2"/>
    <w:rsid w:val="004B73DE"/>
    <w:rsid w:val="004B74ED"/>
    <w:rsid w:val="004B7B25"/>
    <w:rsid w:val="004C039D"/>
    <w:rsid w:val="004C0529"/>
    <w:rsid w:val="004C157F"/>
    <w:rsid w:val="004C1B38"/>
    <w:rsid w:val="004C21D3"/>
    <w:rsid w:val="004C332C"/>
    <w:rsid w:val="004C3692"/>
    <w:rsid w:val="004C39CA"/>
    <w:rsid w:val="004C3B0D"/>
    <w:rsid w:val="004C771F"/>
    <w:rsid w:val="004C7AA5"/>
    <w:rsid w:val="004C7AE4"/>
    <w:rsid w:val="004D1F8D"/>
    <w:rsid w:val="004D27F6"/>
    <w:rsid w:val="004D2C3D"/>
    <w:rsid w:val="004D2EE3"/>
    <w:rsid w:val="004D3A90"/>
    <w:rsid w:val="004D3BAB"/>
    <w:rsid w:val="004D4B81"/>
    <w:rsid w:val="004D676B"/>
    <w:rsid w:val="004D6A0A"/>
    <w:rsid w:val="004D6E64"/>
    <w:rsid w:val="004D720C"/>
    <w:rsid w:val="004D7E78"/>
    <w:rsid w:val="004E0A5D"/>
    <w:rsid w:val="004E116D"/>
    <w:rsid w:val="004E162C"/>
    <w:rsid w:val="004E17C1"/>
    <w:rsid w:val="004E1B5D"/>
    <w:rsid w:val="004E3030"/>
    <w:rsid w:val="004E37B2"/>
    <w:rsid w:val="004E3BBC"/>
    <w:rsid w:val="004E41B0"/>
    <w:rsid w:val="004E43DF"/>
    <w:rsid w:val="004E5452"/>
    <w:rsid w:val="004E593B"/>
    <w:rsid w:val="004E5D9B"/>
    <w:rsid w:val="004E67DE"/>
    <w:rsid w:val="004E7FB9"/>
    <w:rsid w:val="004F05D5"/>
    <w:rsid w:val="004F106F"/>
    <w:rsid w:val="004F2309"/>
    <w:rsid w:val="004F3F28"/>
    <w:rsid w:val="004F3F4A"/>
    <w:rsid w:val="004F4168"/>
    <w:rsid w:val="004F49FF"/>
    <w:rsid w:val="004F4AE3"/>
    <w:rsid w:val="004F585D"/>
    <w:rsid w:val="004F6BB5"/>
    <w:rsid w:val="00501615"/>
    <w:rsid w:val="0050292D"/>
    <w:rsid w:val="00503236"/>
    <w:rsid w:val="00503541"/>
    <w:rsid w:val="005044E8"/>
    <w:rsid w:val="00504BB6"/>
    <w:rsid w:val="00505DF6"/>
    <w:rsid w:val="0050621E"/>
    <w:rsid w:val="00506632"/>
    <w:rsid w:val="00507153"/>
    <w:rsid w:val="00511B7C"/>
    <w:rsid w:val="00512BD4"/>
    <w:rsid w:val="005137B1"/>
    <w:rsid w:val="00514FD7"/>
    <w:rsid w:val="00515A2A"/>
    <w:rsid w:val="00515DF9"/>
    <w:rsid w:val="00516703"/>
    <w:rsid w:val="00516983"/>
    <w:rsid w:val="00516F96"/>
    <w:rsid w:val="0052089C"/>
    <w:rsid w:val="00520DD1"/>
    <w:rsid w:val="005223A5"/>
    <w:rsid w:val="00522593"/>
    <w:rsid w:val="00522C64"/>
    <w:rsid w:val="005230A0"/>
    <w:rsid w:val="00524312"/>
    <w:rsid w:val="00524576"/>
    <w:rsid w:val="00525ABA"/>
    <w:rsid w:val="00526D2D"/>
    <w:rsid w:val="00527641"/>
    <w:rsid w:val="005302B4"/>
    <w:rsid w:val="005303D4"/>
    <w:rsid w:val="005307F0"/>
    <w:rsid w:val="0053115C"/>
    <w:rsid w:val="005320F3"/>
    <w:rsid w:val="00532CB1"/>
    <w:rsid w:val="005334E9"/>
    <w:rsid w:val="00533EB7"/>
    <w:rsid w:val="0053483D"/>
    <w:rsid w:val="00535472"/>
    <w:rsid w:val="00535C08"/>
    <w:rsid w:val="0053625F"/>
    <w:rsid w:val="00536442"/>
    <w:rsid w:val="005365D7"/>
    <w:rsid w:val="0054067C"/>
    <w:rsid w:val="0054093C"/>
    <w:rsid w:val="005412D6"/>
    <w:rsid w:val="00541FD7"/>
    <w:rsid w:val="00542804"/>
    <w:rsid w:val="0054299A"/>
    <w:rsid w:val="005430DA"/>
    <w:rsid w:val="00545524"/>
    <w:rsid w:val="00545D63"/>
    <w:rsid w:val="00545D70"/>
    <w:rsid w:val="00545EB9"/>
    <w:rsid w:val="00546316"/>
    <w:rsid w:val="005463FA"/>
    <w:rsid w:val="005469D8"/>
    <w:rsid w:val="005475E5"/>
    <w:rsid w:val="005477FE"/>
    <w:rsid w:val="00547EAD"/>
    <w:rsid w:val="00551D33"/>
    <w:rsid w:val="00552C41"/>
    <w:rsid w:val="00554674"/>
    <w:rsid w:val="0055474D"/>
    <w:rsid w:val="005553C2"/>
    <w:rsid w:val="00555990"/>
    <w:rsid w:val="00555B40"/>
    <w:rsid w:val="005564FE"/>
    <w:rsid w:val="00556678"/>
    <w:rsid w:val="00560258"/>
    <w:rsid w:val="005605DE"/>
    <w:rsid w:val="00561600"/>
    <w:rsid w:val="00561F5E"/>
    <w:rsid w:val="0056242C"/>
    <w:rsid w:val="00562644"/>
    <w:rsid w:val="00562A49"/>
    <w:rsid w:val="00563EBD"/>
    <w:rsid w:val="005645A6"/>
    <w:rsid w:val="005651B2"/>
    <w:rsid w:val="00570211"/>
    <w:rsid w:val="005702AD"/>
    <w:rsid w:val="0057087C"/>
    <w:rsid w:val="0057279E"/>
    <w:rsid w:val="005727B9"/>
    <w:rsid w:val="005729D4"/>
    <w:rsid w:val="00572B3A"/>
    <w:rsid w:val="005731FD"/>
    <w:rsid w:val="00575875"/>
    <w:rsid w:val="00575884"/>
    <w:rsid w:val="00575A09"/>
    <w:rsid w:val="005762D4"/>
    <w:rsid w:val="0057649C"/>
    <w:rsid w:val="00576B11"/>
    <w:rsid w:val="00576B43"/>
    <w:rsid w:val="00576CC7"/>
    <w:rsid w:val="00577E85"/>
    <w:rsid w:val="00581E46"/>
    <w:rsid w:val="00584C15"/>
    <w:rsid w:val="00584EDE"/>
    <w:rsid w:val="00585830"/>
    <w:rsid w:val="00587E97"/>
    <w:rsid w:val="005901BF"/>
    <w:rsid w:val="00590944"/>
    <w:rsid w:val="005931D3"/>
    <w:rsid w:val="00593993"/>
    <w:rsid w:val="0059470A"/>
    <w:rsid w:val="0059489D"/>
    <w:rsid w:val="005956CD"/>
    <w:rsid w:val="005965F6"/>
    <w:rsid w:val="0059698D"/>
    <w:rsid w:val="00597719"/>
    <w:rsid w:val="005A00F8"/>
    <w:rsid w:val="005A01A2"/>
    <w:rsid w:val="005A06F1"/>
    <w:rsid w:val="005A083D"/>
    <w:rsid w:val="005A0A5C"/>
    <w:rsid w:val="005A1232"/>
    <w:rsid w:val="005A151A"/>
    <w:rsid w:val="005A2487"/>
    <w:rsid w:val="005A2620"/>
    <w:rsid w:val="005A4AA6"/>
    <w:rsid w:val="005A4F09"/>
    <w:rsid w:val="005A5F14"/>
    <w:rsid w:val="005A7BF3"/>
    <w:rsid w:val="005B12B9"/>
    <w:rsid w:val="005B410D"/>
    <w:rsid w:val="005B4701"/>
    <w:rsid w:val="005B4EC3"/>
    <w:rsid w:val="005B4F4A"/>
    <w:rsid w:val="005B52D6"/>
    <w:rsid w:val="005B71DA"/>
    <w:rsid w:val="005B780A"/>
    <w:rsid w:val="005B784B"/>
    <w:rsid w:val="005B7982"/>
    <w:rsid w:val="005B7DEC"/>
    <w:rsid w:val="005C0003"/>
    <w:rsid w:val="005C2638"/>
    <w:rsid w:val="005C2CFC"/>
    <w:rsid w:val="005C3686"/>
    <w:rsid w:val="005C3C81"/>
    <w:rsid w:val="005C3F0F"/>
    <w:rsid w:val="005C48AD"/>
    <w:rsid w:val="005C48F3"/>
    <w:rsid w:val="005C4E9A"/>
    <w:rsid w:val="005C4F78"/>
    <w:rsid w:val="005C51E9"/>
    <w:rsid w:val="005C5890"/>
    <w:rsid w:val="005C6312"/>
    <w:rsid w:val="005C6331"/>
    <w:rsid w:val="005C640E"/>
    <w:rsid w:val="005C6CE3"/>
    <w:rsid w:val="005C6E7A"/>
    <w:rsid w:val="005C7323"/>
    <w:rsid w:val="005C789B"/>
    <w:rsid w:val="005C7F08"/>
    <w:rsid w:val="005D0430"/>
    <w:rsid w:val="005D0A72"/>
    <w:rsid w:val="005D0CBE"/>
    <w:rsid w:val="005D41C4"/>
    <w:rsid w:val="005D43F4"/>
    <w:rsid w:val="005D5E66"/>
    <w:rsid w:val="005D6362"/>
    <w:rsid w:val="005D6E6B"/>
    <w:rsid w:val="005D7694"/>
    <w:rsid w:val="005D7B12"/>
    <w:rsid w:val="005E0FDF"/>
    <w:rsid w:val="005E15BC"/>
    <w:rsid w:val="005E2C87"/>
    <w:rsid w:val="005E3786"/>
    <w:rsid w:val="005E48F4"/>
    <w:rsid w:val="005E4992"/>
    <w:rsid w:val="005E4ECF"/>
    <w:rsid w:val="005E51D3"/>
    <w:rsid w:val="005E5F96"/>
    <w:rsid w:val="005E6335"/>
    <w:rsid w:val="005E6BA3"/>
    <w:rsid w:val="005E6CDB"/>
    <w:rsid w:val="005E7DE3"/>
    <w:rsid w:val="005F016C"/>
    <w:rsid w:val="005F0437"/>
    <w:rsid w:val="005F098F"/>
    <w:rsid w:val="005F103C"/>
    <w:rsid w:val="005F22A1"/>
    <w:rsid w:val="005F28B5"/>
    <w:rsid w:val="005F28BC"/>
    <w:rsid w:val="005F330E"/>
    <w:rsid w:val="005F3B4F"/>
    <w:rsid w:val="005F42F3"/>
    <w:rsid w:val="005F5C96"/>
    <w:rsid w:val="005F704E"/>
    <w:rsid w:val="005F70D5"/>
    <w:rsid w:val="00601AAB"/>
    <w:rsid w:val="006030EE"/>
    <w:rsid w:val="006032AC"/>
    <w:rsid w:val="00603EBB"/>
    <w:rsid w:val="00604441"/>
    <w:rsid w:val="0060476D"/>
    <w:rsid w:val="00604C78"/>
    <w:rsid w:val="00605A66"/>
    <w:rsid w:val="00605B51"/>
    <w:rsid w:val="0060630F"/>
    <w:rsid w:val="00606827"/>
    <w:rsid w:val="00606C3D"/>
    <w:rsid w:val="00606F67"/>
    <w:rsid w:val="006107B2"/>
    <w:rsid w:val="00610841"/>
    <w:rsid w:val="00610E60"/>
    <w:rsid w:val="006113C5"/>
    <w:rsid w:val="00611D48"/>
    <w:rsid w:val="00611F44"/>
    <w:rsid w:val="00612305"/>
    <w:rsid w:val="0061277E"/>
    <w:rsid w:val="00613A85"/>
    <w:rsid w:val="00614DDC"/>
    <w:rsid w:val="00615BEA"/>
    <w:rsid w:val="00616A8D"/>
    <w:rsid w:val="0062006B"/>
    <w:rsid w:val="006203FD"/>
    <w:rsid w:val="0062068B"/>
    <w:rsid w:val="00620E54"/>
    <w:rsid w:val="00621856"/>
    <w:rsid w:val="00622240"/>
    <w:rsid w:val="0062334A"/>
    <w:rsid w:val="00624230"/>
    <w:rsid w:val="0062433E"/>
    <w:rsid w:val="0062523D"/>
    <w:rsid w:val="006255CA"/>
    <w:rsid w:val="0062591A"/>
    <w:rsid w:val="00626220"/>
    <w:rsid w:val="00626B25"/>
    <w:rsid w:val="0062727F"/>
    <w:rsid w:val="006277B4"/>
    <w:rsid w:val="00627A00"/>
    <w:rsid w:val="006306FA"/>
    <w:rsid w:val="0063330F"/>
    <w:rsid w:val="00633774"/>
    <w:rsid w:val="006342F4"/>
    <w:rsid w:val="00634390"/>
    <w:rsid w:val="00636495"/>
    <w:rsid w:val="00636507"/>
    <w:rsid w:val="00641186"/>
    <w:rsid w:val="00642825"/>
    <w:rsid w:val="006428F9"/>
    <w:rsid w:val="00642C5E"/>
    <w:rsid w:val="006438AE"/>
    <w:rsid w:val="00643BF0"/>
    <w:rsid w:val="00643C34"/>
    <w:rsid w:val="00645433"/>
    <w:rsid w:val="006458DB"/>
    <w:rsid w:val="00645F0E"/>
    <w:rsid w:val="006463C4"/>
    <w:rsid w:val="00646405"/>
    <w:rsid w:val="00646540"/>
    <w:rsid w:val="006474EE"/>
    <w:rsid w:val="0065032F"/>
    <w:rsid w:val="00650DEB"/>
    <w:rsid w:val="006510D6"/>
    <w:rsid w:val="006531E1"/>
    <w:rsid w:val="00653C14"/>
    <w:rsid w:val="00653D20"/>
    <w:rsid w:val="00654499"/>
    <w:rsid w:val="00655B5D"/>
    <w:rsid w:val="00655E93"/>
    <w:rsid w:val="00656A09"/>
    <w:rsid w:val="0065710D"/>
    <w:rsid w:val="00657D2A"/>
    <w:rsid w:val="0066124A"/>
    <w:rsid w:val="006615F4"/>
    <w:rsid w:val="006632D5"/>
    <w:rsid w:val="006648F2"/>
    <w:rsid w:val="006657A7"/>
    <w:rsid w:val="00665CE4"/>
    <w:rsid w:val="00665E47"/>
    <w:rsid w:val="00666D88"/>
    <w:rsid w:val="00667787"/>
    <w:rsid w:val="00671C59"/>
    <w:rsid w:val="00671DD3"/>
    <w:rsid w:val="006730CF"/>
    <w:rsid w:val="00673528"/>
    <w:rsid w:val="006739A2"/>
    <w:rsid w:val="00673BAC"/>
    <w:rsid w:val="0067480F"/>
    <w:rsid w:val="00674E63"/>
    <w:rsid w:val="00675D41"/>
    <w:rsid w:val="00677145"/>
    <w:rsid w:val="00677AC4"/>
    <w:rsid w:val="00677B21"/>
    <w:rsid w:val="00677C0C"/>
    <w:rsid w:val="006814BC"/>
    <w:rsid w:val="006827F0"/>
    <w:rsid w:val="00682A29"/>
    <w:rsid w:val="0068346B"/>
    <w:rsid w:val="006840A2"/>
    <w:rsid w:val="006852BC"/>
    <w:rsid w:val="00685309"/>
    <w:rsid w:val="006854DA"/>
    <w:rsid w:val="00686078"/>
    <w:rsid w:val="006870FB"/>
    <w:rsid w:val="00687A1F"/>
    <w:rsid w:val="00687FC2"/>
    <w:rsid w:val="00691290"/>
    <w:rsid w:val="00691E4B"/>
    <w:rsid w:val="00692217"/>
    <w:rsid w:val="00692287"/>
    <w:rsid w:val="0069346C"/>
    <w:rsid w:val="00693584"/>
    <w:rsid w:val="00695213"/>
    <w:rsid w:val="00696A4E"/>
    <w:rsid w:val="006A03C8"/>
    <w:rsid w:val="006A1659"/>
    <w:rsid w:val="006A44D2"/>
    <w:rsid w:val="006A49F5"/>
    <w:rsid w:val="006A4D35"/>
    <w:rsid w:val="006A5D60"/>
    <w:rsid w:val="006A6C89"/>
    <w:rsid w:val="006A739D"/>
    <w:rsid w:val="006A75C2"/>
    <w:rsid w:val="006A7B6D"/>
    <w:rsid w:val="006B0198"/>
    <w:rsid w:val="006B0CF9"/>
    <w:rsid w:val="006B0D64"/>
    <w:rsid w:val="006B0E64"/>
    <w:rsid w:val="006B1324"/>
    <w:rsid w:val="006B1512"/>
    <w:rsid w:val="006B2B29"/>
    <w:rsid w:val="006B3512"/>
    <w:rsid w:val="006B3A71"/>
    <w:rsid w:val="006B3B69"/>
    <w:rsid w:val="006B3C87"/>
    <w:rsid w:val="006B4976"/>
    <w:rsid w:val="006B6C40"/>
    <w:rsid w:val="006B7457"/>
    <w:rsid w:val="006B77CE"/>
    <w:rsid w:val="006C0387"/>
    <w:rsid w:val="006C1002"/>
    <w:rsid w:val="006C107A"/>
    <w:rsid w:val="006C12E7"/>
    <w:rsid w:val="006C1F54"/>
    <w:rsid w:val="006C2464"/>
    <w:rsid w:val="006C3B30"/>
    <w:rsid w:val="006C489A"/>
    <w:rsid w:val="006C65E3"/>
    <w:rsid w:val="006C6A40"/>
    <w:rsid w:val="006D0012"/>
    <w:rsid w:val="006D0113"/>
    <w:rsid w:val="006D0709"/>
    <w:rsid w:val="006D09C4"/>
    <w:rsid w:val="006D1822"/>
    <w:rsid w:val="006D2036"/>
    <w:rsid w:val="006D2432"/>
    <w:rsid w:val="006D2E34"/>
    <w:rsid w:val="006D34C9"/>
    <w:rsid w:val="006D39C5"/>
    <w:rsid w:val="006D3EA4"/>
    <w:rsid w:val="006D49D5"/>
    <w:rsid w:val="006D5889"/>
    <w:rsid w:val="006D5E21"/>
    <w:rsid w:val="006D6905"/>
    <w:rsid w:val="006D6B18"/>
    <w:rsid w:val="006D767C"/>
    <w:rsid w:val="006D78B9"/>
    <w:rsid w:val="006E0439"/>
    <w:rsid w:val="006E0B32"/>
    <w:rsid w:val="006E16ED"/>
    <w:rsid w:val="006E177E"/>
    <w:rsid w:val="006E196B"/>
    <w:rsid w:val="006E218B"/>
    <w:rsid w:val="006E2E5D"/>
    <w:rsid w:val="006E2FE4"/>
    <w:rsid w:val="006E3C1A"/>
    <w:rsid w:val="006E3EC6"/>
    <w:rsid w:val="006E40C3"/>
    <w:rsid w:val="006E47BD"/>
    <w:rsid w:val="006E58D1"/>
    <w:rsid w:val="006E6083"/>
    <w:rsid w:val="006E683C"/>
    <w:rsid w:val="006E7A3C"/>
    <w:rsid w:val="006F0BBC"/>
    <w:rsid w:val="006F0E44"/>
    <w:rsid w:val="006F105D"/>
    <w:rsid w:val="006F12EE"/>
    <w:rsid w:val="006F16E8"/>
    <w:rsid w:val="006F2D04"/>
    <w:rsid w:val="006F2FFA"/>
    <w:rsid w:val="006F30C3"/>
    <w:rsid w:val="006F35F2"/>
    <w:rsid w:val="006F4416"/>
    <w:rsid w:val="006F4589"/>
    <w:rsid w:val="006F4B85"/>
    <w:rsid w:val="006F4DC0"/>
    <w:rsid w:val="006F4F5B"/>
    <w:rsid w:val="006F6151"/>
    <w:rsid w:val="006F6F43"/>
    <w:rsid w:val="006F7F13"/>
    <w:rsid w:val="007007A9"/>
    <w:rsid w:val="00700B01"/>
    <w:rsid w:val="00701476"/>
    <w:rsid w:val="007030C5"/>
    <w:rsid w:val="0070376D"/>
    <w:rsid w:val="007037DC"/>
    <w:rsid w:val="00703F0C"/>
    <w:rsid w:val="007045F2"/>
    <w:rsid w:val="007058FA"/>
    <w:rsid w:val="007059CD"/>
    <w:rsid w:val="00706140"/>
    <w:rsid w:val="007063E7"/>
    <w:rsid w:val="00706DBC"/>
    <w:rsid w:val="007103A6"/>
    <w:rsid w:val="007105F8"/>
    <w:rsid w:val="0071137B"/>
    <w:rsid w:val="007119F2"/>
    <w:rsid w:val="00711AAD"/>
    <w:rsid w:val="0071217C"/>
    <w:rsid w:val="0071289D"/>
    <w:rsid w:val="00713C66"/>
    <w:rsid w:val="00713CEB"/>
    <w:rsid w:val="00714693"/>
    <w:rsid w:val="007157DE"/>
    <w:rsid w:val="0071593E"/>
    <w:rsid w:val="00716623"/>
    <w:rsid w:val="00717375"/>
    <w:rsid w:val="007177B5"/>
    <w:rsid w:val="00717D37"/>
    <w:rsid w:val="007202E3"/>
    <w:rsid w:val="007206CC"/>
    <w:rsid w:val="0072179F"/>
    <w:rsid w:val="007231B3"/>
    <w:rsid w:val="007239C1"/>
    <w:rsid w:val="0072445A"/>
    <w:rsid w:val="00724E61"/>
    <w:rsid w:val="007256F7"/>
    <w:rsid w:val="0072576B"/>
    <w:rsid w:val="00726AAD"/>
    <w:rsid w:val="0072704C"/>
    <w:rsid w:val="0072750F"/>
    <w:rsid w:val="00730DD7"/>
    <w:rsid w:val="00731948"/>
    <w:rsid w:val="007319EB"/>
    <w:rsid w:val="007325DF"/>
    <w:rsid w:val="00733255"/>
    <w:rsid w:val="00734510"/>
    <w:rsid w:val="0073521A"/>
    <w:rsid w:val="00736B67"/>
    <w:rsid w:val="00736EE9"/>
    <w:rsid w:val="00737490"/>
    <w:rsid w:val="00737783"/>
    <w:rsid w:val="00737E20"/>
    <w:rsid w:val="007427B7"/>
    <w:rsid w:val="0074298A"/>
    <w:rsid w:val="007429D5"/>
    <w:rsid w:val="00745038"/>
    <w:rsid w:val="007451CB"/>
    <w:rsid w:val="007457B7"/>
    <w:rsid w:val="007469E4"/>
    <w:rsid w:val="007512AF"/>
    <w:rsid w:val="00751822"/>
    <w:rsid w:val="00751982"/>
    <w:rsid w:val="00751E89"/>
    <w:rsid w:val="00751F90"/>
    <w:rsid w:val="00752710"/>
    <w:rsid w:val="00753470"/>
    <w:rsid w:val="00755AC2"/>
    <w:rsid w:val="00755C4F"/>
    <w:rsid w:val="00757EFA"/>
    <w:rsid w:val="00760926"/>
    <w:rsid w:val="00760B07"/>
    <w:rsid w:val="007619D5"/>
    <w:rsid w:val="00761ABB"/>
    <w:rsid w:val="007626D3"/>
    <w:rsid w:val="00762859"/>
    <w:rsid w:val="0076289C"/>
    <w:rsid w:val="00762AA7"/>
    <w:rsid w:val="00763194"/>
    <w:rsid w:val="007639BE"/>
    <w:rsid w:val="00764DF5"/>
    <w:rsid w:val="007655A1"/>
    <w:rsid w:val="00765808"/>
    <w:rsid w:val="0076587D"/>
    <w:rsid w:val="0076598B"/>
    <w:rsid w:val="00765EC4"/>
    <w:rsid w:val="0076659F"/>
    <w:rsid w:val="007668C1"/>
    <w:rsid w:val="00767441"/>
    <w:rsid w:val="00767DD4"/>
    <w:rsid w:val="007705C1"/>
    <w:rsid w:val="00770C0A"/>
    <w:rsid w:val="007710A3"/>
    <w:rsid w:val="00771CDC"/>
    <w:rsid w:val="00772915"/>
    <w:rsid w:val="00774510"/>
    <w:rsid w:val="00774C31"/>
    <w:rsid w:val="0077645D"/>
    <w:rsid w:val="007778EF"/>
    <w:rsid w:val="00777EEA"/>
    <w:rsid w:val="00780635"/>
    <w:rsid w:val="007811CA"/>
    <w:rsid w:val="00782549"/>
    <w:rsid w:val="00782BF1"/>
    <w:rsid w:val="00783321"/>
    <w:rsid w:val="00784921"/>
    <w:rsid w:val="007849BA"/>
    <w:rsid w:val="007857C6"/>
    <w:rsid w:val="00785B96"/>
    <w:rsid w:val="00787FD9"/>
    <w:rsid w:val="00790324"/>
    <w:rsid w:val="0079103B"/>
    <w:rsid w:val="00791B5E"/>
    <w:rsid w:val="007920FF"/>
    <w:rsid w:val="00792561"/>
    <w:rsid w:val="00792959"/>
    <w:rsid w:val="00792A8A"/>
    <w:rsid w:val="00793071"/>
    <w:rsid w:val="0079314C"/>
    <w:rsid w:val="00793824"/>
    <w:rsid w:val="00793D75"/>
    <w:rsid w:val="0079482A"/>
    <w:rsid w:val="00794D7C"/>
    <w:rsid w:val="00794EBC"/>
    <w:rsid w:val="00794F34"/>
    <w:rsid w:val="00795673"/>
    <w:rsid w:val="007960FD"/>
    <w:rsid w:val="00797286"/>
    <w:rsid w:val="007A0036"/>
    <w:rsid w:val="007A0A61"/>
    <w:rsid w:val="007A0C8D"/>
    <w:rsid w:val="007A15FC"/>
    <w:rsid w:val="007A31F0"/>
    <w:rsid w:val="007A3739"/>
    <w:rsid w:val="007A47FD"/>
    <w:rsid w:val="007A48F3"/>
    <w:rsid w:val="007A5380"/>
    <w:rsid w:val="007B0287"/>
    <w:rsid w:val="007B0C25"/>
    <w:rsid w:val="007B0CB0"/>
    <w:rsid w:val="007B1F14"/>
    <w:rsid w:val="007B20A3"/>
    <w:rsid w:val="007B2182"/>
    <w:rsid w:val="007B23CE"/>
    <w:rsid w:val="007B2565"/>
    <w:rsid w:val="007B3004"/>
    <w:rsid w:val="007B3B6F"/>
    <w:rsid w:val="007B45A0"/>
    <w:rsid w:val="007B45DB"/>
    <w:rsid w:val="007B5A95"/>
    <w:rsid w:val="007B6084"/>
    <w:rsid w:val="007B6093"/>
    <w:rsid w:val="007B65B9"/>
    <w:rsid w:val="007B6F8C"/>
    <w:rsid w:val="007B7831"/>
    <w:rsid w:val="007B7A20"/>
    <w:rsid w:val="007C24C7"/>
    <w:rsid w:val="007C30FF"/>
    <w:rsid w:val="007C4DE8"/>
    <w:rsid w:val="007C4F18"/>
    <w:rsid w:val="007C64E3"/>
    <w:rsid w:val="007C65C4"/>
    <w:rsid w:val="007C692E"/>
    <w:rsid w:val="007C6BD3"/>
    <w:rsid w:val="007C6D1B"/>
    <w:rsid w:val="007C6E3E"/>
    <w:rsid w:val="007C7336"/>
    <w:rsid w:val="007C77D9"/>
    <w:rsid w:val="007D0E37"/>
    <w:rsid w:val="007D1259"/>
    <w:rsid w:val="007D2545"/>
    <w:rsid w:val="007D4683"/>
    <w:rsid w:val="007D62D6"/>
    <w:rsid w:val="007D6748"/>
    <w:rsid w:val="007D7917"/>
    <w:rsid w:val="007D79F1"/>
    <w:rsid w:val="007D7AAA"/>
    <w:rsid w:val="007E068C"/>
    <w:rsid w:val="007E07E1"/>
    <w:rsid w:val="007E08AD"/>
    <w:rsid w:val="007E2E48"/>
    <w:rsid w:val="007E33C9"/>
    <w:rsid w:val="007E3E72"/>
    <w:rsid w:val="007E4096"/>
    <w:rsid w:val="007E432C"/>
    <w:rsid w:val="007E4C56"/>
    <w:rsid w:val="007E5918"/>
    <w:rsid w:val="007E5D3D"/>
    <w:rsid w:val="007F0D58"/>
    <w:rsid w:val="007F158B"/>
    <w:rsid w:val="007F1DAC"/>
    <w:rsid w:val="007F1FC1"/>
    <w:rsid w:val="007F23AF"/>
    <w:rsid w:val="007F2967"/>
    <w:rsid w:val="007F3693"/>
    <w:rsid w:val="007F3ED9"/>
    <w:rsid w:val="007F4886"/>
    <w:rsid w:val="007F4D73"/>
    <w:rsid w:val="007F502C"/>
    <w:rsid w:val="007F6C20"/>
    <w:rsid w:val="007F7327"/>
    <w:rsid w:val="007F744B"/>
    <w:rsid w:val="007F7786"/>
    <w:rsid w:val="007F7870"/>
    <w:rsid w:val="007F7CDF"/>
    <w:rsid w:val="00800493"/>
    <w:rsid w:val="00801034"/>
    <w:rsid w:val="00801ABD"/>
    <w:rsid w:val="00801C1D"/>
    <w:rsid w:val="00801DA1"/>
    <w:rsid w:val="00803610"/>
    <w:rsid w:val="00803EF9"/>
    <w:rsid w:val="008041FD"/>
    <w:rsid w:val="0080449B"/>
    <w:rsid w:val="00804C6D"/>
    <w:rsid w:val="008053CE"/>
    <w:rsid w:val="0080628F"/>
    <w:rsid w:val="00806AC6"/>
    <w:rsid w:val="00810364"/>
    <w:rsid w:val="008109F7"/>
    <w:rsid w:val="00811838"/>
    <w:rsid w:val="00811A21"/>
    <w:rsid w:val="00812027"/>
    <w:rsid w:val="00812A51"/>
    <w:rsid w:val="00813096"/>
    <w:rsid w:val="008132AB"/>
    <w:rsid w:val="00814092"/>
    <w:rsid w:val="00816BF1"/>
    <w:rsid w:val="00816CB9"/>
    <w:rsid w:val="0081747E"/>
    <w:rsid w:val="00817531"/>
    <w:rsid w:val="008201A1"/>
    <w:rsid w:val="008204DE"/>
    <w:rsid w:val="00820DB9"/>
    <w:rsid w:val="0082160E"/>
    <w:rsid w:val="00822DE8"/>
    <w:rsid w:val="0082322C"/>
    <w:rsid w:val="00823A7F"/>
    <w:rsid w:val="00823C35"/>
    <w:rsid w:val="0082468D"/>
    <w:rsid w:val="00824746"/>
    <w:rsid w:val="00826006"/>
    <w:rsid w:val="008274F9"/>
    <w:rsid w:val="00827787"/>
    <w:rsid w:val="008278C1"/>
    <w:rsid w:val="00831F73"/>
    <w:rsid w:val="008333AE"/>
    <w:rsid w:val="008335F7"/>
    <w:rsid w:val="00833980"/>
    <w:rsid w:val="008346AD"/>
    <w:rsid w:val="00835FC6"/>
    <w:rsid w:val="00836025"/>
    <w:rsid w:val="00836869"/>
    <w:rsid w:val="00836B5E"/>
    <w:rsid w:val="00837972"/>
    <w:rsid w:val="008402D0"/>
    <w:rsid w:val="00840560"/>
    <w:rsid w:val="008415AC"/>
    <w:rsid w:val="00842D96"/>
    <w:rsid w:val="008436B5"/>
    <w:rsid w:val="00844005"/>
    <w:rsid w:val="0084462A"/>
    <w:rsid w:val="00844E6D"/>
    <w:rsid w:val="00845015"/>
    <w:rsid w:val="008458C4"/>
    <w:rsid w:val="00845FCB"/>
    <w:rsid w:val="00846FDD"/>
    <w:rsid w:val="0084776F"/>
    <w:rsid w:val="00847A16"/>
    <w:rsid w:val="0085082F"/>
    <w:rsid w:val="00850D32"/>
    <w:rsid w:val="0085164C"/>
    <w:rsid w:val="00851B26"/>
    <w:rsid w:val="00852913"/>
    <w:rsid w:val="0085337F"/>
    <w:rsid w:val="0085372B"/>
    <w:rsid w:val="0085483A"/>
    <w:rsid w:val="00854905"/>
    <w:rsid w:val="008551BC"/>
    <w:rsid w:val="00855599"/>
    <w:rsid w:val="008555D8"/>
    <w:rsid w:val="00855933"/>
    <w:rsid w:val="00855A83"/>
    <w:rsid w:val="008567D4"/>
    <w:rsid w:val="00856C4D"/>
    <w:rsid w:val="008601CF"/>
    <w:rsid w:val="00861476"/>
    <w:rsid w:val="00861752"/>
    <w:rsid w:val="00862856"/>
    <w:rsid w:val="00862E95"/>
    <w:rsid w:val="00863311"/>
    <w:rsid w:val="0086341B"/>
    <w:rsid w:val="00863A81"/>
    <w:rsid w:val="00863EF8"/>
    <w:rsid w:val="00863F62"/>
    <w:rsid w:val="0086516A"/>
    <w:rsid w:val="00865D8F"/>
    <w:rsid w:val="008661E9"/>
    <w:rsid w:val="0086678E"/>
    <w:rsid w:val="008709C6"/>
    <w:rsid w:val="00872297"/>
    <w:rsid w:val="008724C8"/>
    <w:rsid w:val="008724EC"/>
    <w:rsid w:val="00872838"/>
    <w:rsid w:val="00872EF1"/>
    <w:rsid w:val="00873807"/>
    <w:rsid w:val="00874087"/>
    <w:rsid w:val="00874DDD"/>
    <w:rsid w:val="00874F0F"/>
    <w:rsid w:val="008759A2"/>
    <w:rsid w:val="00876BC5"/>
    <w:rsid w:val="00877975"/>
    <w:rsid w:val="00880298"/>
    <w:rsid w:val="00880848"/>
    <w:rsid w:val="00880BA2"/>
    <w:rsid w:val="00881C91"/>
    <w:rsid w:val="00882286"/>
    <w:rsid w:val="00882872"/>
    <w:rsid w:val="00883300"/>
    <w:rsid w:val="00883D2D"/>
    <w:rsid w:val="00884D57"/>
    <w:rsid w:val="00884F47"/>
    <w:rsid w:val="008860CE"/>
    <w:rsid w:val="00887A43"/>
    <w:rsid w:val="00890051"/>
    <w:rsid w:val="0089119C"/>
    <w:rsid w:val="008911B1"/>
    <w:rsid w:val="00892470"/>
    <w:rsid w:val="00892E01"/>
    <w:rsid w:val="0089492C"/>
    <w:rsid w:val="00895DA2"/>
    <w:rsid w:val="00896F12"/>
    <w:rsid w:val="00897EE4"/>
    <w:rsid w:val="008A2468"/>
    <w:rsid w:val="008A2ED0"/>
    <w:rsid w:val="008A41E7"/>
    <w:rsid w:val="008A4323"/>
    <w:rsid w:val="008A4E36"/>
    <w:rsid w:val="008A4FE5"/>
    <w:rsid w:val="008A5218"/>
    <w:rsid w:val="008A6357"/>
    <w:rsid w:val="008A72AF"/>
    <w:rsid w:val="008A7332"/>
    <w:rsid w:val="008A76C5"/>
    <w:rsid w:val="008A796E"/>
    <w:rsid w:val="008A79B7"/>
    <w:rsid w:val="008A7B68"/>
    <w:rsid w:val="008B046F"/>
    <w:rsid w:val="008B112F"/>
    <w:rsid w:val="008B1319"/>
    <w:rsid w:val="008B1E9C"/>
    <w:rsid w:val="008B3F2A"/>
    <w:rsid w:val="008B422B"/>
    <w:rsid w:val="008B4456"/>
    <w:rsid w:val="008B5E77"/>
    <w:rsid w:val="008B60FE"/>
    <w:rsid w:val="008B6424"/>
    <w:rsid w:val="008B64B1"/>
    <w:rsid w:val="008B6FE3"/>
    <w:rsid w:val="008B7968"/>
    <w:rsid w:val="008C0B9F"/>
    <w:rsid w:val="008C1986"/>
    <w:rsid w:val="008C19C3"/>
    <w:rsid w:val="008C36D0"/>
    <w:rsid w:val="008C3774"/>
    <w:rsid w:val="008C4797"/>
    <w:rsid w:val="008C6133"/>
    <w:rsid w:val="008C696C"/>
    <w:rsid w:val="008C6A7E"/>
    <w:rsid w:val="008C6E14"/>
    <w:rsid w:val="008C715D"/>
    <w:rsid w:val="008C7169"/>
    <w:rsid w:val="008C728B"/>
    <w:rsid w:val="008D1630"/>
    <w:rsid w:val="008D27CB"/>
    <w:rsid w:val="008D5FEB"/>
    <w:rsid w:val="008D6F48"/>
    <w:rsid w:val="008D74BB"/>
    <w:rsid w:val="008D7EDB"/>
    <w:rsid w:val="008E20E7"/>
    <w:rsid w:val="008E29AC"/>
    <w:rsid w:val="008E381D"/>
    <w:rsid w:val="008E3B8A"/>
    <w:rsid w:val="008E3CCA"/>
    <w:rsid w:val="008E4838"/>
    <w:rsid w:val="008E4F88"/>
    <w:rsid w:val="008E59D4"/>
    <w:rsid w:val="008E65D3"/>
    <w:rsid w:val="008E664F"/>
    <w:rsid w:val="008E6E27"/>
    <w:rsid w:val="008E7D9D"/>
    <w:rsid w:val="008F0551"/>
    <w:rsid w:val="008F061F"/>
    <w:rsid w:val="008F1BA3"/>
    <w:rsid w:val="008F2A05"/>
    <w:rsid w:val="008F4CF4"/>
    <w:rsid w:val="008F536E"/>
    <w:rsid w:val="008F6765"/>
    <w:rsid w:val="008F74D6"/>
    <w:rsid w:val="009016EA"/>
    <w:rsid w:val="009020AA"/>
    <w:rsid w:val="00902818"/>
    <w:rsid w:val="009030B5"/>
    <w:rsid w:val="009032D8"/>
    <w:rsid w:val="00903616"/>
    <w:rsid w:val="00903BCB"/>
    <w:rsid w:val="00904A36"/>
    <w:rsid w:val="00904FC2"/>
    <w:rsid w:val="00905094"/>
    <w:rsid w:val="00905854"/>
    <w:rsid w:val="009063FE"/>
    <w:rsid w:val="009102B7"/>
    <w:rsid w:val="00911238"/>
    <w:rsid w:val="00912DCB"/>
    <w:rsid w:val="00913603"/>
    <w:rsid w:val="00913AD4"/>
    <w:rsid w:val="00913BB0"/>
    <w:rsid w:val="009155E9"/>
    <w:rsid w:val="00915868"/>
    <w:rsid w:val="00916B9D"/>
    <w:rsid w:val="00916DA4"/>
    <w:rsid w:val="00916E22"/>
    <w:rsid w:val="00917AC5"/>
    <w:rsid w:val="009209BE"/>
    <w:rsid w:val="00920FA3"/>
    <w:rsid w:val="0092108B"/>
    <w:rsid w:val="0092119C"/>
    <w:rsid w:val="00922129"/>
    <w:rsid w:val="00922C77"/>
    <w:rsid w:val="00922FA1"/>
    <w:rsid w:val="00923868"/>
    <w:rsid w:val="00923B7E"/>
    <w:rsid w:val="00923BF0"/>
    <w:rsid w:val="0092472D"/>
    <w:rsid w:val="00924A2E"/>
    <w:rsid w:val="00924EFF"/>
    <w:rsid w:val="0092589C"/>
    <w:rsid w:val="009262EB"/>
    <w:rsid w:val="00926713"/>
    <w:rsid w:val="00926869"/>
    <w:rsid w:val="00926DA6"/>
    <w:rsid w:val="009277E7"/>
    <w:rsid w:val="009305C7"/>
    <w:rsid w:val="00930AE0"/>
    <w:rsid w:val="00930C04"/>
    <w:rsid w:val="00931B59"/>
    <w:rsid w:val="00932D6D"/>
    <w:rsid w:val="00933BC7"/>
    <w:rsid w:val="00934902"/>
    <w:rsid w:val="00934A97"/>
    <w:rsid w:val="00935510"/>
    <w:rsid w:val="009362F2"/>
    <w:rsid w:val="00936C63"/>
    <w:rsid w:val="00936D3F"/>
    <w:rsid w:val="0093757F"/>
    <w:rsid w:val="00937CC2"/>
    <w:rsid w:val="00940057"/>
    <w:rsid w:val="00940B7D"/>
    <w:rsid w:val="009410DD"/>
    <w:rsid w:val="009415E1"/>
    <w:rsid w:val="00941718"/>
    <w:rsid w:val="0094200A"/>
    <w:rsid w:val="00942128"/>
    <w:rsid w:val="009433C7"/>
    <w:rsid w:val="009442D0"/>
    <w:rsid w:val="00944839"/>
    <w:rsid w:val="00944A7E"/>
    <w:rsid w:val="00945427"/>
    <w:rsid w:val="009468BC"/>
    <w:rsid w:val="0094762A"/>
    <w:rsid w:val="00947D12"/>
    <w:rsid w:val="009508A6"/>
    <w:rsid w:val="00950A41"/>
    <w:rsid w:val="009511A5"/>
    <w:rsid w:val="0095170B"/>
    <w:rsid w:val="00951764"/>
    <w:rsid w:val="00951E03"/>
    <w:rsid w:val="00952C3B"/>
    <w:rsid w:val="00953406"/>
    <w:rsid w:val="0095414C"/>
    <w:rsid w:val="009543E4"/>
    <w:rsid w:val="00955760"/>
    <w:rsid w:val="0095580D"/>
    <w:rsid w:val="00956CB9"/>
    <w:rsid w:val="00956D6C"/>
    <w:rsid w:val="00960D71"/>
    <w:rsid w:val="009621D4"/>
    <w:rsid w:val="0096329F"/>
    <w:rsid w:val="00963491"/>
    <w:rsid w:val="009643A9"/>
    <w:rsid w:val="00966231"/>
    <w:rsid w:val="00970212"/>
    <w:rsid w:val="009707C0"/>
    <w:rsid w:val="009720EE"/>
    <w:rsid w:val="00972221"/>
    <w:rsid w:val="00972E0E"/>
    <w:rsid w:val="00973972"/>
    <w:rsid w:val="00974237"/>
    <w:rsid w:val="00974712"/>
    <w:rsid w:val="00975975"/>
    <w:rsid w:val="009763E0"/>
    <w:rsid w:val="00976E02"/>
    <w:rsid w:val="00976E82"/>
    <w:rsid w:val="009771C0"/>
    <w:rsid w:val="00977378"/>
    <w:rsid w:val="009775E6"/>
    <w:rsid w:val="00977FFB"/>
    <w:rsid w:val="00980321"/>
    <w:rsid w:val="00981E1B"/>
    <w:rsid w:val="00982305"/>
    <w:rsid w:val="009825CF"/>
    <w:rsid w:val="00982765"/>
    <w:rsid w:val="00982E05"/>
    <w:rsid w:val="00983C73"/>
    <w:rsid w:val="00983DB5"/>
    <w:rsid w:val="009842D1"/>
    <w:rsid w:val="009846C5"/>
    <w:rsid w:val="009862B9"/>
    <w:rsid w:val="009866F7"/>
    <w:rsid w:val="00986D98"/>
    <w:rsid w:val="00987073"/>
    <w:rsid w:val="00990F9F"/>
    <w:rsid w:val="00992838"/>
    <w:rsid w:val="00993AB8"/>
    <w:rsid w:val="00993EB2"/>
    <w:rsid w:val="00994618"/>
    <w:rsid w:val="00995148"/>
    <w:rsid w:val="00995B99"/>
    <w:rsid w:val="00997037"/>
    <w:rsid w:val="00997EDF"/>
    <w:rsid w:val="009A1193"/>
    <w:rsid w:val="009A2157"/>
    <w:rsid w:val="009A5065"/>
    <w:rsid w:val="009A513A"/>
    <w:rsid w:val="009A529B"/>
    <w:rsid w:val="009A5DAD"/>
    <w:rsid w:val="009A6B0C"/>
    <w:rsid w:val="009A711F"/>
    <w:rsid w:val="009A77A5"/>
    <w:rsid w:val="009A7DF8"/>
    <w:rsid w:val="009B0BE2"/>
    <w:rsid w:val="009B1924"/>
    <w:rsid w:val="009B29EE"/>
    <w:rsid w:val="009B43B5"/>
    <w:rsid w:val="009B573A"/>
    <w:rsid w:val="009B72C9"/>
    <w:rsid w:val="009B774E"/>
    <w:rsid w:val="009B7DB1"/>
    <w:rsid w:val="009C0FD0"/>
    <w:rsid w:val="009C1B96"/>
    <w:rsid w:val="009C31F7"/>
    <w:rsid w:val="009C36A3"/>
    <w:rsid w:val="009C49ED"/>
    <w:rsid w:val="009C6249"/>
    <w:rsid w:val="009C7694"/>
    <w:rsid w:val="009C7849"/>
    <w:rsid w:val="009D0452"/>
    <w:rsid w:val="009D050A"/>
    <w:rsid w:val="009D05E5"/>
    <w:rsid w:val="009D1ED2"/>
    <w:rsid w:val="009D2277"/>
    <w:rsid w:val="009D25DA"/>
    <w:rsid w:val="009D273F"/>
    <w:rsid w:val="009D33DC"/>
    <w:rsid w:val="009D3848"/>
    <w:rsid w:val="009D3901"/>
    <w:rsid w:val="009D3B32"/>
    <w:rsid w:val="009D5E78"/>
    <w:rsid w:val="009D622A"/>
    <w:rsid w:val="009D6EC4"/>
    <w:rsid w:val="009D7AFB"/>
    <w:rsid w:val="009D7BAC"/>
    <w:rsid w:val="009E09A8"/>
    <w:rsid w:val="009E0C3B"/>
    <w:rsid w:val="009E0CC8"/>
    <w:rsid w:val="009E1902"/>
    <w:rsid w:val="009E21FA"/>
    <w:rsid w:val="009E3419"/>
    <w:rsid w:val="009E4539"/>
    <w:rsid w:val="009E69BC"/>
    <w:rsid w:val="009E7519"/>
    <w:rsid w:val="009E7795"/>
    <w:rsid w:val="009E7BA9"/>
    <w:rsid w:val="009F01B6"/>
    <w:rsid w:val="009F177C"/>
    <w:rsid w:val="009F17B0"/>
    <w:rsid w:val="009F190F"/>
    <w:rsid w:val="009F1B47"/>
    <w:rsid w:val="009F231A"/>
    <w:rsid w:val="009F272F"/>
    <w:rsid w:val="009F2AD3"/>
    <w:rsid w:val="009F3887"/>
    <w:rsid w:val="009F3EA0"/>
    <w:rsid w:val="009F4385"/>
    <w:rsid w:val="009F58B2"/>
    <w:rsid w:val="009F5CD9"/>
    <w:rsid w:val="009F6697"/>
    <w:rsid w:val="009F6EF5"/>
    <w:rsid w:val="009F79AB"/>
    <w:rsid w:val="009F7DBE"/>
    <w:rsid w:val="00A00385"/>
    <w:rsid w:val="00A00813"/>
    <w:rsid w:val="00A00B9C"/>
    <w:rsid w:val="00A00D54"/>
    <w:rsid w:val="00A01241"/>
    <w:rsid w:val="00A01AF6"/>
    <w:rsid w:val="00A02ADA"/>
    <w:rsid w:val="00A0302F"/>
    <w:rsid w:val="00A035D6"/>
    <w:rsid w:val="00A037BC"/>
    <w:rsid w:val="00A03C3A"/>
    <w:rsid w:val="00A060AE"/>
    <w:rsid w:val="00A0691E"/>
    <w:rsid w:val="00A06DB1"/>
    <w:rsid w:val="00A07A82"/>
    <w:rsid w:val="00A07DC3"/>
    <w:rsid w:val="00A07F34"/>
    <w:rsid w:val="00A112AF"/>
    <w:rsid w:val="00A129E9"/>
    <w:rsid w:val="00A12FA8"/>
    <w:rsid w:val="00A13A19"/>
    <w:rsid w:val="00A14A48"/>
    <w:rsid w:val="00A14BFF"/>
    <w:rsid w:val="00A14D51"/>
    <w:rsid w:val="00A1507A"/>
    <w:rsid w:val="00A152F7"/>
    <w:rsid w:val="00A1586F"/>
    <w:rsid w:val="00A162F0"/>
    <w:rsid w:val="00A16399"/>
    <w:rsid w:val="00A1640A"/>
    <w:rsid w:val="00A1688A"/>
    <w:rsid w:val="00A16CD4"/>
    <w:rsid w:val="00A1789C"/>
    <w:rsid w:val="00A17D07"/>
    <w:rsid w:val="00A20091"/>
    <w:rsid w:val="00A2071E"/>
    <w:rsid w:val="00A20A2E"/>
    <w:rsid w:val="00A2112B"/>
    <w:rsid w:val="00A2166D"/>
    <w:rsid w:val="00A21BB9"/>
    <w:rsid w:val="00A22E4D"/>
    <w:rsid w:val="00A23756"/>
    <w:rsid w:val="00A237E6"/>
    <w:rsid w:val="00A24FA6"/>
    <w:rsid w:val="00A24FD8"/>
    <w:rsid w:val="00A25556"/>
    <w:rsid w:val="00A2570A"/>
    <w:rsid w:val="00A259BA"/>
    <w:rsid w:val="00A263B5"/>
    <w:rsid w:val="00A26C8B"/>
    <w:rsid w:val="00A27212"/>
    <w:rsid w:val="00A3040B"/>
    <w:rsid w:val="00A308CC"/>
    <w:rsid w:val="00A30F95"/>
    <w:rsid w:val="00A31020"/>
    <w:rsid w:val="00A313EB"/>
    <w:rsid w:val="00A327C1"/>
    <w:rsid w:val="00A329FC"/>
    <w:rsid w:val="00A3373B"/>
    <w:rsid w:val="00A33802"/>
    <w:rsid w:val="00A33918"/>
    <w:rsid w:val="00A35E8E"/>
    <w:rsid w:val="00A35F63"/>
    <w:rsid w:val="00A3636F"/>
    <w:rsid w:val="00A36AC9"/>
    <w:rsid w:val="00A40417"/>
    <w:rsid w:val="00A41BB8"/>
    <w:rsid w:val="00A421AF"/>
    <w:rsid w:val="00A421CB"/>
    <w:rsid w:val="00A42450"/>
    <w:rsid w:val="00A42CC1"/>
    <w:rsid w:val="00A42FD1"/>
    <w:rsid w:val="00A43BDA"/>
    <w:rsid w:val="00A4424F"/>
    <w:rsid w:val="00A45BFE"/>
    <w:rsid w:val="00A46AB4"/>
    <w:rsid w:val="00A46BD8"/>
    <w:rsid w:val="00A50015"/>
    <w:rsid w:val="00A5014C"/>
    <w:rsid w:val="00A501A1"/>
    <w:rsid w:val="00A50685"/>
    <w:rsid w:val="00A5325B"/>
    <w:rsid w:val="00A5346E"/>
    <w:rsid w:val="00A54D70"/>
    <w:rsid w:val="00A5681C"/>
    <w:rsid w:val="00A57AE3"/>
    <w:rsid w:val="00A6041D"/>
    <w:rsid w:val="00A6052A"/>
    <w:rsid w:val="00A61360"/>
    <w:rsid w:val="00A617AF"/>
    <w:rsid w:val="00A636DD"/>
    <w:rsid w:val="00A63831"/>
    <w:rsid w:val="00A64164"/>
    <w:rsid w:val="00A6447F"/>
    <w:rsid w:val="00A646EA"/>
    <w:rsid w:val="00A6494B"/>
    <w:rsid w:val="00A64BE0"/>
    <w:rsid w:val="00A6560D"/>
    <w:rsid w:val="00A703FD"/>
    <w:rsid w:val="00A705C0"/>
    <w:rsid w:val="00A718D3"/>
    <w:rsid w:val="00A722B5"/>
    <w:rsid w:val="00A72CF2"/>
    <w:rsid w:val="00A73C3F"/>
    <w:rsid w:val="00A741A9"/>
    <w:rsid w:val="00A741BE"/>
    <w:rsid w:val="00A7489F"/>
    <w:rsid w:val="00A749D2"/>
    <w:rsid w:val="00A75131"/>
    <w:rsid w:val="00A76072"/>
    <w:rsid w:val="00A7671D"/>
    <w:rsid w:val="00A76785"/>
    <w:rsid w:val="00A77026"/>
    <w:rsid w:val="00A772BB"/>
    <w:rsid w:val="00A80188"/>
    <w:rsid w:val="00A80444"/>
    <w:rsid w:val="00A8118F"/>
    <w:rsid w:val="00A82CC0"/>
    <w:rsid w:val="00A842B7"/>
    <w:rsid w:val="00A84CDB"/>
    <w:rsid w:val="00A854FE"/>
    <w:rsid w:val="00A85F8D"/>
    <w:rsid w:val="00A8633D"/>
    <w:rsid w:val="00A87074"/>
    <w:rsid w:val="00A8718F"/>
    <w:rsid w:val="00A90652"/>
    <w:rsid w:val="00A933EE"/>
    <w:rsid w:val="00A935D0"/>
    <w:rsid w:val="00A93701"/>
    <w:rsid w:val="00A93D0A"/>
    <w:rsid w:val="00A9423E"/>
    <w:rsid w:val="00AA17B6"/>
    <w:rsid w:val="00AA1C47"/>
    <w:rsid w:val="00AA2218"/>
    <w:rsid w:val="00AA2F86"/>
    <w:rsid w:val="00AA3047"/>
    <w:rsid w:val="00AA3A40"/>
    <w:rsid w:val="00AA46EA"/>
    <w:rsid w:val="00AA54BD"/>
    <w:rsid w:val="00AA5B69"/>
    <w:rsid w:val="00AA5BE0"/>
    <w:rsid w:val="00AB088D"/>
    <w:rsid w:val="00AB0AA5"/>
    <w:rsid w:val="00AB0AD6"/>
    <w:rsid w:val="00AB1BBB"/>
    <w:rsid w:val="00AB1D4D"/>
    <w:rsid w:val="00AB3758"/>
    <w:rsid w:val="00AB50C7"/>
    <w:rsid w:val="00AB547F"/>
    <w:rsid w:val="00AC0687"/>
    <w:rsid w:val="00AC0BCD"/>
    <w:rsid w:val="00AC281E"/>
    <w:rsid w:val="00AC3795"/>
    <w:rsid w:val="00AC4566"/>
    <w:rsid w:val="00AC46DA"/>
    <w:rsid w:val="00AC4FF2"/>
    <w:rsid w:val="00AC61B1"/>
    <w:rsid w:val="00AC6791"/>
    <w:rsid w:val="00AC7561"/>
    <w:rsid w:val="00AD0ECF"/>
    <w:rsid w:val="00AD2536"/>
    <w:rsid w:val="00AD2DD9"/>
    <w:rsid w:val="00AD5163"/>
    <w:rsid w:val="00AD5420"/>
    <w:rsid w:val="00AD5432"/>
    <w:rsid w:val="00AD56A0"/>
    <w:rsid w:val="00AD5E7D"/>
    <w:rsid w:val="00AD6047"/>
    <w:rsid w:val="00AD61DE"/>
    <w:rsid w:val="00AD64A4"/>
    <w:rsid w:val="00AD72C8"/>
    <w:rsid w:val="00AE023D"/>
    <w:rsid w:val="00AE0678"/>
    <w:rsid w:val="00AE087C"/>
    <w:rsid w:val="00AE0C12"/>
    <w:rsid w:val="00AE1611"/>
    <w:rsid w:val="00AE25EE"/>
    <w:rsid w:val="00AE3AF6"/>
    <w:rsid w:val="00AE45AF"/>
    <w:rsid w:val="00AE46FA"/>
    <w:rsid w:val="00AE5590"/>
    <w:rsid w:val="00AE60D9"/>
    <w:rsid w:val="00AF18F1"/>
    <w:rsid w:val="00AF32CB"/>
    <w:rsid w:val="00AF393B"/>
    <w:rsid w:val="00AF40EE"/>
    <w:rsid w:val="00AF442C"/>
    <w:rsid w:val="00AF4C95"/>
    <w:rsid w:val="00AF5686"/>
    <w:rsid w:val="00AF6068"/>
    <w:rsid w:val="00AF7B4C"/>
    <w:rsid w:val="00B0041A"/>
    <w:rsid w:val="00B01241"/>
    <w:rsid w:val="00B01993"/>
    <w:rsid w:val="00B0219E"/>
    <w:rsid w:val="00B02276"/>
    <w:rsid w:val="00B03166"/>
    <w:rsid w:val="00B03852"/>
    <w:rsid w:val="00B03DAE"/>
    <w:rsid w:val="00B0441E"/>
    <w:rsid w:val="00B04E73"/>
    <w:rsid w:val="00B06559"/>
    <w:rsid w:val="00B06CDD"/>
    <w:rsid w:val="00B07D72"/>
    <w:rsid w:val="00B114CE"/>
    <w:rsid w:val="00B11B84"/>
    <w:rsid w:val="00B12397"/>
    <w:rsid w:val="00B12933"/>
    <w:rsid w:val="00B12D3D"/>
    <w:rsid w:val="00B12E66"/>
    <w:rsid w:val="00B135E2"/>
    <w:rsid w:val="00B16532"/>
    <w:rsid w:val="00B16DAE"/>
    <w:rsid w:val="00B17508"/>
    <w:rsid w:val="00B177A6"/>
    <w:rsid w:val="00B2064B"/>
    <w:rsid w:val="00B208E4"/>
    <w:rsid w:val="00B20F48"/>
    <w:rsid w:val="00B21691"/>
    <w:rsid w:val="00B22016"/>
    <w:rsid w:val="00B22429"/>
    <w:rsid w:val="00B2293A"/>
    <w:rsid w:val="00B22A52"/>
    <w:rsid w:val="00B2465C"/>
    <w:rsid w:val="00B24F00"/>
    <w:rsid w:val="00B25124"/>
    <w:rsid w:val="00B25BC7"/>
    <w:rsid w:val="00B27E40"/>
    <w:rsid w:val="00B27FE1"/>
    <w:rsid w:val="00B3081D"/>
    <w:rsid w:val="00B30D85"/>
    <w:rsid w:val="00B31233"/>
    <w:rsid w:val="00B31F63"/>
    <w:rsid w:val="00B32258"/>
    <w:rsid w:val="00B322E4"/>
    <w:rsid w:val="00B325F6"/>
    <w:rsid w:val="00B331A9"/>
    <w:rsid w:val="00B345CF"/>
    <w:rsid w:val="00B36438"/>
    <w:rsid w:val="00B368E1"/>
    <w:rsid w:val="00B36D9D"/>
    <w:rsid w:val="00B37601"/>
    <w:rsid w:val="00B37938"/>
    <w:rsid w:val="00B37A92"/>
    <w:rsid w:val="00B400B6"/>
    <w:rsid w:val="00B40D25"/>
    <w:rsid w:val="00B41FC1"/>
    <w:rsid w:val="00B433EA"/>
    <w:rsid w:val="00B4529F"/>
    <w:rsid w:val="00B466EC"/>
    <w:rsid w:val="00B46BB7"/>
    <w:rsid w:val="00B46D1F"/>
    <w:rsid w:val="00B4710A"/>
    <w:rsid w:val="00B471FE"/>
    <w:rsid w:val="00B4760E"/>
    <w:rsid w:val="00B47AA9"/>
    <w:rsid w:val="00B502C9"/>
    <w:rsid w:val="00B50528"/>
    <w:rsid w:val="00B51BC4"/>
    <w:rsid w:val="00B5245A"/>
    <w:rsid w:val="00B524C6"/>
    <w:rsid w:val="00B527CA"/>
    <w:rsid w:val="00B5327F"/>
    <w:rsid w:val="00B53D1D"/>
    <w:rsid w:val="00B540B9"/>
    <w:rsid w:val="00B54AD3"/>
    <w:rsid w:val="00B54CD6"/>
    <w:rsid w:val="00B55BF9"/>
    <w:rsid w:val="00B569A0"/>
    <w:rsid w:val="00B57B37"/>
    <w:rsid w:val="00B57ED5"/>
    <w:rsid w:val="00B605EF"/>
    <w:rsid w:val="00B61497"/>
    <w:rsid w:val="00B616C5"/>
    <w:rsid w:val="00B618AF"/>
    <w:rsid w:val="00B621C9"/>
    <w:rsid w:val="00B63546"/>
    <w:rsid w:val="00B63E36"/>
    <w:rsid w:val="00B64D30"/>
    <w:rsid w:val="00B65090"/>
    <w:rsid w:val="00B65B32"/>
    <w:rsid w:val="00B65F8F"/>
    <w:rsid w:val="00B6605D"/>
    <w:rsid w:val="00B66201"/>
    <w:rsid w:val="00B674BD"/>
    <w:rsid w:val="00B702E0"/>
    <w:rsid w:val="00B703A7"/>
    <w:rsid w:val="00B71BE6"/>
    <w:rsid w:val="00B72D01"/>
    <w:rsid w:val="00B76178"/>
    <w:rsid w:val="00B77B38"/>
    <w:rsid w:val="00B800BC"/>
    <w:rsid w:val="00B80E1E"/>
    <w:rsid w:val="00B81577"/>
    <w:rsid w:val="00B82057"/>
    <w:rsid w:val="00B82092"/>
    <w:rsid w:val="00B832A2"/>
    <w:rsid w:val="00B83C24"/>
    <w:rsid w:val="00B8421C"/>
    <w:rsid w:val="00B84412"/>
    <w:rsid w:val="00B85CBA"/>
    <w:rsid w:val="00B87B90"/>
    <w:rsid w:val="00B90159"/>
    <w:rsid w:val="00B90CA5"/>
    <w:rsid w:val="00B9114C"/>
    <w:rsid w:val="00B91A2E"/>
    <w:rsid w:val="00B91ECB"/>
    <w:rsid w:val="00B92770"/>
    <w:rsid w:val="00B92946"/>
    <w:rsid w:val="00B944BD"/>
    <w:rsid w:val="00B94D13"/>
    <w:rsid w:val="00B95028"/>
    <w:rsid w:val="00B95577"/>
    <w:rsid w:val="00B95F46"/>
    <w:rsid w:val="00B96D55"/>
    <w:rsid w:val="00B97190"/>
    <w:rsid w:val="00BA052D"/>
    <w:rsid w:val="00BA0E46"/>
    <w:rsid w:val="00BA350D"/>
    <w:rsid w:val="00BA4580"/>
    <w:rsid w:val="00BA46C8"/>
    <w:rsid w:val="00BA4D98"/>
    <w:rsid w:val="00BA4F97"/>
    <w:rsid w:val="00BA59DF"/>
    <w:rsid w:val="00BA623E"/>
    <w:rsid w:val="00BB034B"/>
    <w:rsid w:val="00BB0C35"/>
    <w:rsid w:val="00BB100E"/>
    <w:rsid w:val="00BB23A4"/>
    <w:rsid w:val="00BB2CBA"/>
    <w:rsid w:val="00BB3888"/>
    <w:rsid w:val="00BB3DB0"/>
    <w:rsid w:val="00BB42B5"/>
    <w:rsid w:val="00BB42D2"/>
    <w:rsid w:val="00BB4E69"/>
    <w:rsid w:val="00BB66C6"/>
    <w:rsid w:val="00BC0112"/>
    <w:rsid w:val="00BC031A"/>
    <w:rsid w:val="00BC19FB"/>
    <w:rsid w:val="00BC2437"/>
    <w:rsid w:val="00BC2D43"/>
    <w:rsid w:val="00BC3274"/>
    <w:rsid w:val="00BC4002"/>
    <w:rsid w:val="00BC5209"/>
    <w:rsid w:val="00BC72E8"/>
    <w:rsid w:val="00BC7507"/>
    <w:rsid w:val="00BC79DB"/>
    <w:rsid w:val="00BC7C9F"/>
    <w:rsid w:val="00BD2FB5"/>
    <w:rsid w:val="00BD32DA"/>
    <w:rsid w:val="00BD353E"/>
    <w:rsid w:val="00BD3FAB"/>
    <w:rsid w:val="00BD4BDB"/>
    <w:rsid w:val="00BD5B32"/>
    <w:rsid w:val="00BD5DD0"/>
    <w:rsid w:val="00BD6264"/>
    <w:rsid w:val="00BD68A5"/>
    <w:rsid w:val="00BD6A34"/>
    <w:rsid w:val="00BD6B12"/>
    <w:rsid w:val="00BD6D10"/>
    <w:rsid w:val="00BD7999"/>
    <w:rsid w:val="00BE0421"/>
    <w:rsid w:val="00BE0FF6"/>
    <w:rsid w:val="00BE1520"/>
    <w:rsid w:val="00BE22B0"/>
    <w:rsid w:val="00BE23EA"/>
    <w:rsid w:val="00BE260D"/>
    <w:rsid w:val="00BE375A"/>
    <w:rsid w:val="00BE413C"/>
    <w:rsid w:val="00BE43E9"/>
    <w:rsid w:val="00BE4AE6"/>
    <w:rsid w:val="00BE5440"/>
    <w:rsid w:val="00BE6114"/>
    <w:rsid w:val="00BE652C"/>
    <w:rsid w:val="00BE6AD7"/>
    <w:rsid w:val="00BE6C17"/>
    <w:rsid w:val="00BE725A"/>
    <w:rsid w:val="00BF0362"/>
    <w:rsid w:val="00BF186C"/>
    <w:rsid w:val="00BF1A9D"/>
    <w:rsid w:val="00BF1DF2"/>
    <w:rsid w:val="00BF2314"/>
    <w:rsid w:val="00BF4277"/>
    <w:rsid w:val="00BF45A2"/>
    <w:rsid w:val="00BF4B5E"/>
    <w:rsid w:val="00BF5B0F"/>
    <w:rsid w:val="00BF5F13"/>
    <w:rsid w:val="00BF6238"/>
    <w:rsid w:val="00BF7887"/>
    <w:rsid w:val="00BF7BB2"/>
    <w:rsid w:val="00C0130F"/>
    <w:rsid w:val="00C017F4"/>
    <w:rsid w:val="00C01E69"/>
    <w:rsid w:val="00C030B8"/>
    <w:rsid w:val="00C030F2"/>
    <w:rsid w:val="00C032F4"/>
    <w:rsid w:val="00C03E56"/>
    <w:rsid w:val="00C0462E"/>
    <w:rsid w:val="00C04784"/>
    <w:rsid w:val="00C04ED3"/>
    <w:rsid w:val="00C054CC"/>
    <w:rsid w:val="00C05674"/>
    <w:rsid w:val="00C0570A"/>
    <w:rsid w:val="00C05958"/>
    <w:rsid w:val="00C06221"/>
    <w:rsid w:val="00C063AA"/>
    <w:rsid w:val="00C06810"/>
    <w:rsid w:val="00C07434"/>
    <w:rsid w:val="00C11517"/>
    <w:rsid w:val="00C11A7B"/>
    <w:rsid w:val="00C12769"/>
    <w:rsid w:val="00C1394D"/>
    <w:rsid w:val="00C13EDD"/>
    <w:rsid w:val="00C14AD1"/>
    <w:rsid w:val="00C14D4C"/>
    <w:rsid w:val="00C16CD5"/>
    <w:rsid w:val="00C17319"/>
    <w:rsid w:val="00C2037F"/>
    <w:rsid w:val="00C20E8F"/>
    <w:rsid w:val="00C212A8"/>
    <w:rsid w:val="00C21A28"/>
    <w:rsid w:val="00C21D82"/>
    <w:rsid w:val="00C21FCB"/>
    <w:rsid w:val="00C21FF6"/>
    <w:rsid w:val="00C22100"/>
    <w:rsid w:val="00C2284F"/>
    <w:rsid w:val="00C22BF6"/>
    <w:rsid w:val="00C23AFC"/>
    <w:rsid w:val="00C24B4B"/>
    <w:rsid w:val="00C24DB5"/>
    <w:rsid w:val="00C25AFC"/>
    <w:rsid w:val="00C26059"/>
    <w:rsid w:val="00C26413"/>
    <w:rsid w:val="00C26816"/>
    <w:rsid w:val="00C27062"/>
    <w:rsid w:val="00C271F0"/>
    <w:rsid w:val="00C27589"/>
    <w:rsid w:val="00C3057B"/>
    <w:rsid w:val="00C3118C"/>
    <w:rsid w:val="00C317B9"/>
    <w:rsid w:val="00C3274F"/>
    <w:rsid w:val="00C33A4F"/>
    <w:rsid w:val="00C34671"/>
    <w:rsid w:val="00C3506A"/>
    <w:rsid w:val="00C356E1"/>
    <w:rsid w:val="00C35963"/>
    <w:rsid w:val="00C36539"/>
    <w:rsid w:val="00C36BC2"/>
    <w:rsid w:val="00C36F57"/>
    <w:rsid w:val="00C379EE"/>
    <w:rsid w:val="00C37CCC"/>
    <w:rsid w:val="00C40659"/>
    <w:rsid w:val="00C40729"/>
    <w:rsid w:val="00C408E4"/>
    <w:rsid w:val="00C40B1C"/>
    <w:rsid w:val="00C40C8A"/>
    <w:rsid w:val="00C4186A"/>
    <w:rsid w:val="00C43632"/>
    <w:rsid w:val="00C448C3"/>
    <w:rsid w:val="00C449D7"/>
    <w:rsid w:val="00C47AA3"/>
    <w:rsid w:val="00C50941"/>
    <w:rsid w:val="00C50BE2"/>
    <w:rsid w:val="00C52A5E"/>
    <w:rsid w:val="00C54173"/>
    <w:rsid w:val="00C5554B"/>
    <w:rsid w:val="00C5565A"/>
    <w:rsid w:val="00C55680"/>
    <w:rsid w:val="00C55E7F"/>
    <w:rsid w:val="00C56268"/>
    <w:rsid w:val="00C567D4"/>
    <w:rsid w:val="00C56B64"/>
    <w:rsid w:val="00C57342"/>
    <w:rsid w:val="00C600BB"/>
    <w:rsid w:val="00C60530"/>
    <w:rsid w:val="00C6129D"/>
    <w:rsid w:val="00C621C9"/>
    <w:rsid w:val="00C6242D"/>
    <w:rsid w:val="00C6304E"/>
    <w:rsid w:val="00C638C2"/>
    <w:rsid w:val="00C64042"/>
    <w:rsid w:val="00C64F0A"/>
    <w:rsid w:val="00C65A38"/>
    <w:rsid w:val="00C66CC4"/>
    <w:rsid w:val="00C701B4"/>
    <w:rsid w:val="00C712F0"/>
    <w:rsid w:val="00C71D17"/>
    <w:rsid w:val="00C71E27"/>
    <w:rsid w:val="00C72760"/>
    <w:rsid w:val="00C727C6"/>
    <w:rsid w:val="00C72B88"/>
    <w:rsid w:val="00C72E06"/>
    <w:rsid w:val="00C72EF4"/>
    <w:rsid w:val="00C73A55"/>
    <w:rsid w:val="00C73A82"/>
    <w:rsid w:val="00C73AD2"/>
    <w:rsid w:val="00C73D7A"/>
    <w:rsid w:val="00C73D9C"/>
    <w:rsid w:val="00C741B7"/>
    <w:rsid w:val="00C744A6"/>
    <w:rsid w:val="00C752CD"/>
    <w:rsid w:val="00C76AE5"/>
    <w:rsid w:val="00C7727B"/>
    <w:rsid w:val="00C77584"/>
    <w:rsid w:val="00C77ED2"/>
    <w:rsid w:val="00C80382"/>
    <w:rsid w:val="00C8058B"/>
    <w:rsid w:val="00C805FC"/>
    <w:rsid w:val="00C80643"/>
    <w:rsid w:val="00C80D7D"/>
    <w:rsid w:val="00C80FBD"/>
    <w:rsid w:val="00C81289"/>
    <w:rsid w:val="00C83237"/>
    <w:rsid w:val="00C8383B"/>
    <w:rsid w:val="00C84F0D"/>
    <w:rsid w:val="00C8584D"/>
    <w:rsid w:val="00C85BE3"/>
    <w:rsid w:val="00C85BF7"/>
    <w:rsid w:val="00C85C5C"/>
    <w:rsid w:val="00C8659C"/>
    <w:rsid w:val="00C87B83"/>
    <w:rsid w:val="00C87C79"/>
    <w:rsid w:val="00C90124"/>
    <w:rsid w:val="00C90946"/>
    <w:rsid w:val="00C91E4B"/>
    <w:rsid w:val="00C92015"/>
    <w:rsid w:val="00C93A9F"/>
    <w:rsid w:val="00C94A5C"/>
    <w:rsid w:val="00C95AD4"/>
    <w:rsid w:val="00C95D4E"/>
    <w:rsid w:val="00C95E02"/>
    <w:rsid w:val="00C96FB3"/>
    <w:rsid w:val="00CA04B7"/>
    <w:rsid w:val="00CA05D5"/>
    <w:rsid w:val="00CA0A1E"/>
    <w:rsid w:val="00CA16DE"/>
    <w:rsid w:val="00CA1EB6"/>
    <w:rsid w:val="00CA4050"/>
    <w:rsid w:val="00CA410C"/>
    <w:rsid w:val="00CA4D8F"/>
    <w:rsid w:val="00CA4E5E"/>
    <w:rsid w:val="00CA674A"/>
    <w:rsid w:val="00CA7396"/>
    <w:rsid w:val="00CB08BB"/>
    <w:rsid w:val="00CB170E"/>
    <w:rsid w:val="00CB171C"/>
    <w:rsid w:val="00CB1C1E"/>
    <w:rsid w:val="00CB2242"/>
    <w:rsid w:val="00CB296C"/>
    <w:rsid w:val="00CB29E1"/>
    <w:rsid w:val="00CB2C62"/>
    <w:rsid w:val="00CB2D77"/>
    <w:rsid w:val="00CB4750"/>
    <w:rsid w:val="00CB4F61"/>
    <w:rsid w:val="00CB5A40"/>
    <w:rsid w:val="00CB5B01"/>
    <w:rsid w:val="00CB614A"/>
    <w:rsid w:val="00CB64E6"/>
    <w:rsid w:val="00CB68E2"/>
    <w:rsid w:val="00CB6D37"/>
    <w:rsid w:val="00CB7388"/>
    <w:rsid w:val="00CB7FF8"/>
    <w:rsid w:val="00CC01D4"/>
    <w:rsid w:val="00CC02D9"/>
    <w:rsid w:val="00CC0B2B"/>
    <w:rsid w:val="00CC0C57"/>
    <w:rsid w:val="00CC10BA"/>
    <w:rsid w:val="00CC1181"/>
    <w:rsid w:val="00CC1719"/>
    <w:rsid w:val="00CC1AC2"/>
    <w:rsid w:val="00CC1ADE"/>
    <w:rsid w:val="00CC1C87"/>
    <w:rsid w:val="00CC1E68"/>
    <w:rsid w:val="00CC2AF9"/>
    <w:rsid w:val="00CC2F51"/>
    <w:rsid w:val="00CC3C8C"/>
    <w:rsid w:val="00CC3D2E"/>
    <w:rsid w:val="00CC5D55"/>
    <w:rsid w:val="00CC6EA6"/>
    <w:rsid w:val="00CC75ED"/>
    <w:rsid w:val="00CD0BB7"/>
    <w:rsid w:val="00CD15F2"/>
    <w:rsid w:val="00CD1989"/>
    <w:rsid w:val="00CD1BC0"/>
    <w:rsid w:val="00CD1D96"/>
    <w:rsid w:val="00CD2582"/>
    <w:rsid w:val="00CD46A9"/>
    <w:rsid w:val="00CD4E9A"/>
    <w:rsid w:val="00CD5C6F"/>
    <w:rsid w:val="00CD5CF4"/>
    <w:rsid w:val="00CD6BDD"/>
    <w:rsid w:val="00CD73B6"/>
    <w:rsid w:val="00CE00CB"/>
    <w:rsid w:val="00CE0AB1"/>
    <w:rsid w:val="00CE15EB"/>
    <w:rsid w:val="00CE2FE0"/>
    <w:rsid w:val="00CE32BF"/>
    <w:rsid w:val="00CE348A"/>
    <w:rsid w:val="00CE3546"/>
    <w:rsid w:val="00CE4536"/>
    <w:rsid w:val="00CE59AF"/>
    <w:rsid w:val="00CE6513"/>
    <w:rsid w:val="00CE6790"/>
    <w:rsid w:val="00CE7F15"/>
    <w:rsid w:val="00CF0340"/>
    <w:rsid w:val="00CF04A0"/>
    <w:rsid w:val="00CF1E20"/>
    <w:rsid w:val="00CF243B"/>
    <w:rsid w:val="00CF2B15"/>
    <w:rsid w:val="00CF2FDF"/>
    <w:rsid w:val="00CF3E8B"/>
    <w:rsid w:val="00CF4747"/>
    <w:rsid w:val="00CF589C"/>
    <w:rsid w:val="00CF5B07"/>
    <w:rsid w:val="00CF6735"/>
    <w:rsid w:val="00CF7444"/>
    <w:rsid w:val="00CF79A8"/>
    <w:rsid w:val="00CF79BC"/>
    <w:rsid w:val="00D00A54"/>
    <w:rsid w:val="00D035CC"/>
    <w:rsid w:val="00D0399D"/>
    <w:rsid w:val="00D03D50"/>
    <w:rsid w:val="00D04013"/>
    <w:rsid w:val="00D0425E"/>
    <w:rsid w:val="00D0448F"/>
    <w:rsid w:val="00D04B49"/>
    <w:rsid w:val="00D06115"/>
    <w:rsid w:val="00D06AD4"/>
    <w:rsid w:val="00D06CE3"/>
    <w:rsid w:val="00D07464"/>
    <w:rsid w:val="00D079E7"/>
    <w:rsid w:val="00D1071A"/>
    <w:rsid w:val="00D10C68"/>
    <w:rsid w:val="00D10D0A"/>
    <w:rsid w:val="00D111E9"/>
    <w:rsid w:val="00D11A3B"/>
    <w:rsid w:val="00D12593"/>
    <w:rsid w:val="00D13192"/>
    <w:rsid w:val="00D148AE"/>
    <w:rsid w:val="00D14B6E"/>
    <w:rsid w:val="00D15120"/>
    <w:rsid w:val="00D151C0"/>
    <w:rsid w:val="00D15FFB"/>
    <w:rsid w:val="00D160EE"/>
    <w:rsid w:val="00D16342"/>
    <w:rsid w:val="00D167DB"/>
    <w:rsid w:val="00D17680"/>
    <w:rsid w:val="00D20239"/>
    <w:rsid w:val="00D202FE"/>
    <w:rsid w:val="00D20741"/>
    <w:rsid w:val="00D207DC"/>
    <w:rsid w:val="00D2088F"/>
    <w:rsid w:val="00D217CE"/>
    <w:rsid w:val="00D22357"/>
    <w:rsid w:val="00D24E5B"/>
    <w:rsid w:val="00D24F62"/>
    <w:rsid w:val="00D24FE3"/>
    <w:rsid w:val="00D25173"/>
    <w:rsid w:val="00D25A67"/>
    <w:rsid w:val="00D25EB4"/>
    <w:rsid w:val="00D26D1B"/>
    <w:rsid w:val="00D27685"/>
    <w:rsid w:val="00D27CD0"/>
    <w:rsid w:val="00D27EBE"/>
    <w:rsid w:val="00D318A7"/>
    <w:rsid w:val="00D31E8F"/>
    <w:rsid w:val="00D33E7B"/>
    <w:rsid w:val="00D340F8"/>
    <w:rsid w:val="00D343B6"/>
    <w:rsid w:val="00D34D1A"/>
    <w:rsid w:val="00D35221"/>
    <w:rsid w:val="00D35510"/>
    <w:rsid w:val="00D35A58"/>
    <w:rsid w:val="00D367E2"/>
    <w:rsid w:val="00D3680B"/>
    <w:rsid w:val="00D37568"/>
    <w:rsid w:val="00D37EEB"/>
    <w:rsid w:val="00D4075B"/>
    <w:rsid w:val="00D40D71"/>
    <w:rsid w:val="00D41AA4"/>
    <w:rsid w:val="00D42AEB"/>
    <w:rsid w:val="00D43350"/>
    <w:rsid w:val="00D43984"/>
    <w:rsid w:val="00D43DA7"/>
    <w:rsid w:val="00D44E58"/>
    <w:rsid w:val="00D454B8"/>
    <w:rsid w:val="00D4553B"/>
    <w:rsid w:val="00D4578B"/>
    <w:rsid w:val="00D46162"/>
    <w:rsid w:val="00D47742"/>
    <w:rsid w:val="00D47C8F"/>
    <w:rsid w:val="00D50EBE"/>
    <w:rsid w:val="00D5168E"/>
    <w:rsid w:val="00D521B3"/>
    <w:rsid w:val="00D53AEA"/>
    <w:rsid w:val="00D552BE"/>
    <w:rsid w:val="00D55531"/>
    <w:rsid w:val="00D55919"/>
    <w:rsid w:val="00D5624C"/>
    <w:rsid w:val="00D5628D"/>
    <w:rsid w:val="00D566C8"/>
    <w:rsid w:val="00D57D83"/>
    <w:rsid w:val="00D600FA"/>
    <w:rsid w:val="00D620DE"/>
    <w:rsid w:val="00D64D9B"/>
    <w:rsid w:val="00D66890"/>
    <w:rsid w:val="00D67778"/>
    <w:rsid w:val="00D704DF"/>
    <w:rsid w:val="00D72AA3"/>
    <w:rsid w:val="00D72AE2"/>
    <w:rsid w:val="00D73338"/>
    <w:rsid w:val="00D733D6"/>
    <w:rsid w:val="00D73D0A"/>
    <w:rsid w:val="00D74071"/>
    <w:rsid w:val="00D746D2"/>
    <w:rsid w:val="00D75548"/>
    <w:rsid w:val="00D75B9A"/>
    <w:rsid w:val="00D80394"/>
    <w:rsid w:val="00D80686"/>
    <w:rsid w:val="00D80A2F"/>
    <w:rsid w:val="00D80C4B"/>
    <w:rsid w:val="00D81138"/>
    <w:rsid w:val="00D81C32"/>
    <w:rsid w:val="00D82B58"/>
    <w:rsid w:val="00D842DE"/>
    <w:rsid w:val="00D8646A"/>
    <w:rsid w:val="00D86B24"/>
    <w:rsid w:val="00D87546"/>
    <w:rsid w:val="00D87DB7"/>
    <w:rsid w:val="00D9069C"/>
    <w:rsid w:val="00D907D0"/>
    <w:rsid w:val="00D90BBF"/>
    <w:rsid w:val="00D91D30"/>
    <w:rsid w:val="00D92FCE"/>
    <w:rsid w:val="00D9342B"/>
    <w:rsid w:val="00D939B9"/>
    <w:rsid w:val="00D93CC0"/>
    <w:rsid w:val="00D93EC4"/>
    <w:rsid w:val="00D93FE3"/>
    <w:rsid w:val="00D95341"/>
    <w:rsid w:val="00D9602B"/>
    <w:rsid w:val="00D961C2"/>
    <w:rsid w:val="00D96E8B"/>
    <w:rsid w:val="00D97F0A"/>
    <w:rsid w:val="00DA1788"/>
    <w:rsid w:val="00DA25FC"/>
    <w:rsid w:val="00DA304D"/>
    <w:rsid w:val="00DA3FFC"/>
    <w:rsid w:val="00DA652A"/>
    <w:rsid w:val="00DA664D"/>
    <w:rsid w:val="00DA67CC"/>
    <w:rsid w:val="00DA6F7F"/>
    <w:rsid w:val="00DA7C5D"/>
    <w:rsid w:val="00DB0028"/>
    <w:rsid w:val="00DB0F15"/>
    <w:rsid w:val="00DB0FEB"/>
    <w:rsid w:val="00DB23F8"/>
    <w:rsid w:val="00DB29EE"/>
    <w:rsid w:val="00DB38DB"/>
    <w:rsid w:val="00DB5145"/>
    <w:rsid w:val="00DC0202"/>
    <w:rsid w:val="00DC059C"/>
    <w:rsid w:val="00DC39D7"/>
    <w:rsid w:val="00DC4687"/>
    <w:rsid w:val="00DC4B81"/>
    <w:rsid w:val="00DC55B5"/>
    <w:rsid w:val="00DC576C"/>
    <w:rsid w:val="00DC5DD1"/>
    <w:rsid w:val="00DC5EE6"/>
    <w:rsid w:val="00DC5F03"/>
    <w:rsid w:val="00DC6E21"/>
    <w:rsid w:val="00DC7F2C"/>
    <w:rsid w:val="00DD0C7D"/>
    <w:rsid w:val="00DD2C60"/>
    <w:rsid w:val="00DD322C"/>
    <w:rsid w:val="00DD3550"/>
    <w:rsid w:val="00DD3627"/>
    <w:rsid w:val="00DD3E18"/>
    <w:rsid w:val="00DD439C"/>
    <w:rsid w:val="00DD4629"/>
    <w:rsid w:val="00DD4F2B"/>
    <w:rsid w:val="00DD56C6"/>
    <w:rsid w:val="00DD5E8B"/>
    <w:rsid w:val="00DD6622"/>
    <w:rsid w:val="00DD6DC8"/>
    <w:rsid w:val="00DD797A"/>
    <w:rsid w:val="00DD7E1A"/>
    <w:rsid w:val="00DE0169"/>
    <w:rsid w:val="00DE0437"/>
    <w:rsid w:val="00DE0DAC"/>
    <w:rsid w:val="00DE111A"/>
    <w:rsid w:val="00DE1841"/>
    <w:rsid w:val="00DE2A1F"/>
    <w:rsid w:val="00DE3311"/>
    <w:rsid w:val="00DE64FB"/>
    <w:rsid w:val="00DE6655"/>
    <w:rsid w:val="00DE68E5"/>
    <w:rsid w:val="00DF2A9E"/>
    <w:rsid w:val="00DF4453"/>
    <w:rsid w:val="00DF4A72"/>
    <w:rsid w:val="00DF54F8"/>
    <w:rsid w:val="00DF565F"/>
    <w:rsid w:val="00DF5D25"/>
    <w:rsid w:val="00DF5F16"/>
    <w:rsid w:val="00DF603B"/>
    <w:rsid w:val="00DF7EE3"/>
    <w:rsid w:val="00E01177"/>
    <w:rsid w:val="00E03F10"/>
    <w:rsid w:val="00E03FB6"/>
    <w:rsid w:val="00E0477C"/>
    <w:rsid w:val="00E04888"/>
    <w:rsid w:val="00E04B83"/>
    <w:rsid w:val="00E05FA2"/>
    <w:rsid w:val="00E06713"/>
    <w:rsid w:val="00E069EF"/>
    <w:rsid w:val="00E07115"/>
    <w:rsid w:val="00E10796"/>
    <w:rsid w:val="00E11071"/>
    <w:rsid w:val="00E11982"/>
    <w:rsid w:val="00E11DDE"/>
    <w:rsid w:val="00E12E9F"/>
    <w:rsid w:val="00E13EE9"/>
    <w:rsid w:val="00E159B9"/>
    <w:rsid w:val="00E166F2"/>
    <w:rsid w:val="00E16FEE"/>
    <w:rsid w:val="00E20644"/>
    <w:rsid w:val="00E21E46"/>
    <w:rsid w:val="00E22997"/>
    <w:rsid w:val="00E22ECF"/>
    <w:rsid w:val="00E24308"/>
    <w:rsid w:val="00E24E39"/>
    <w:rsid w:val="00E25544"/>
    <w:rsid w:val="00E257A8"/>
    <w:rsid w:val="00E26F6F"/>
    <w:rsid w:val="00E27A43"/>
    <w:rsid w:val="00E300EA"/>
    <w:rsid w:val="00E31B8C"/>
    <w:rsid w:val="00E321B5"/>
    <w:rsid w:val="00E34618"/>
    <w:rsid w:val="00E35B20"/>
    <w:rsid w:val="00E374A8"/>
    <w:rsid w:val="00E3774E"/>
    <w:rsid w:val="00E40728"/>
    <w:rsid w:val="00E41DE5"/>
    <w:rsid w:val="00E41FD8"/>
    <w:rsid w:val="00E4267A"/>
    <w:rsid w:val="00E43A8B"/>
    <w:rsid w:val="00E43EAB"/>
    <w:rsid w:val="00E443F7"/>
    <w:rsid w:val="00E44B48"/>
    <w:rsid w:val="00E46869"/>
    <w:rsid w:val="00E46FF2"/>
    <w:rsid w:val="00E47317"/>
    <w:rsid w:val="00E47B0F"/>
    <w:rsid w:val="00E51259"/>
    <w:rsid w:val="00E51798"/>
    <w:rsid w:val="00E521C4"/>
    <w:rsid w:val="00E523B0"/>
    <w:rsid w:val="00E52689"/>
    <w:rsid w:val="00E52AEB"/>
    <w:rsid w:val="00E53905"/>
    <w:rsid w:val="00E551D3"/>
    <w:rsid w:val="00E55462"/>
    <w:rsid w:val="00E55586"/>
    <w:rsid w:val="00E55AD4"/>
    <w:rsid w:val="00E567FD"/>
    <w:rsid w:val="00E60706"/>
    <w:rsid w:val="00E62185"/>
    <w:rsid w:val="00E62DF8"/>
    <w:rsid w:val="00E63660"/>
    <w:rsid w:val="00E647DA"/>
    <w:rsid w:val="00E64AA8"/>
    <w:rsid w:val="00E64EEF"/>
    <w:rsid w:val="00E65B58"/>
    <w:rsid w:val="00E65F64"/>
    <w:rsid w:val="00E6756A"/>
    <w:rsid w:val="00E67B6F"/>
    <w:rsid w:val="00E7103A"/>
    <w:rsid w:val="00E72A4A"/>
    <w:rsid w:val="00E73608"/>
    <w:rsid w:val="00E748CB"/>
    <w:rsid w:val="00E76E4E"/>
    <w:rsid w:val="00E80107"/>
    <w:rsid w:val="00E810B1"/>
    <w:rsid w:val="00E82C59"/>
    <w:rsid w:val="00E82C92"/>
    <w:rsid w:val="00E82E0D"/>
    <w:rsid w:val="00E82FE8"/>
    <w:rsid w:val="00E8337F"/>
    <w:rsid w:val="00E84363"/>
    <w:rsid w:val="00E8535F"/>
    <w:rsid w:val="00E85D4A"/>
    <w:rsid w:val="00E8609A"/>
    <w:rsid w:val="00E863AD"/>
    <w:rsid w:val="00E864E3"/>
    <w:rsid w:val="00E87949"/>
    <w:rsid w:val="00E87E48"/>
    <w:rsid w:val="00E90690"/>
    <w:rsid w:val="00E90DBC"/>
    <w:rsid w:val="00E921E5"/>
    <w:rsid w:val="00E932F3"/>
    <w:rsid w:val="00E93707"/>
    <w:rsid w:val="00E93988"/>
    <w:rsid w:val="00E93DD2"/>
    <w:rsid w:val="00E947BF"/>
    <w:rsid w:val="00E94885"/>
    <w:rsid w:val="00E9599E"/>
    <w:rsid w:val="00E95B6E"/>
    <w:rsid w:val="00E9602D"/>
    <w:rsid w:val="00E969F5"/>
    <w:rsid w:val="00E96AE0"/>
    <w:rsid w:val="00E96F61"/>
    <w:rsid w:val="00E975F9"/>
    <w:rsid w:val="00E97678"/>
    <w:rsid w:val="00EA043A"/>
    <w:rsid w:val="00EA0941"/>
    <w:rsid w:val="00EA1522"/>
    <w:rsid w:val="00EA1558"/>
    <w:rsid w:val="00EA2645"/>
    <w:rsid w:val="00EA2745"/>
    <w:rsid w:val="00EA2A63"/>
    <w:rsid w:val="00EA424D"/>
    <w:rsid w:val="00EA4632"/>
    <w:rsid w:val="00EA5865"/>
    <w:rsid w:val="00EA6653"/>
    <w:rsid w:val="00EA69D7"/>
    <w:rsid w:val="00EA6CD7"/>
    <w:rsid w:val="00EA6D13"/>
    <w:rsid w:val="00EB1E97"/>
    <w:rsid w:val="00EB41E4"/>
    <w:rsid w:val="00EB52FC"/>
    <w:rsid w:val="00EB55EA"/>
    <w:rsid w:val="00EB66F9"/>
    <w:rsid w:val="00EB74D6"/>
    <w:rsid w:val="00EB7ABA"/>
    <w:rsid w:val="00EB7D91"/>
    <w:rsid w:val="00EC0603"/>
    <w:rsid w:val="00EC07A9"/>
    <w:rsid w:val="00EC0C87"/>
    <w:rsid w:val="00EC135B"/>
    <w:rsid w:val="00EC1C64"/>
    <w:rsid w:val="00EC220E"/>
    <w:rsid w:val="00EC25C2"/>
    <w:rsid w:val="00EC2646"/>
    <w:rsid w:val="00EC2717"/>
    <w:rsid w:val="00EC2A2A"/>
    <w:rsid w:val="00EC329D"/>
    <w:rsid w:val="00EC3CD6"/>
    <w:rsid w:val="00EC44EE"/>
    <w:rsid w:val="00EC499E"/>
    <w:rsid w:val="00EC60AA"/>
    <w:rsid w:val="00ED054E"/>
    <w:rsid w:val="00ED0C99"/>
    <w:rsid w:val="00ED181D"/>
    <w:rsid w:val="00ED1854"/>
    <w:rsid w:val="00ED38C0"/>
    <w:rsid w:val="00ED3A55"/>
    <w:rsid w:val="00ED3C6F"/>
    <w:rsid w:val="00ED589F"/>
    <w:rsid w:val="00ED614D"/>
    <w:rsid w:val="00ED693B"/>
    <w:rsid w:val="00EE02F2"/>
    <w:rsid w:val="00EE40F0"/>
    <w:rsid w:val="00EE48F0"/>
    <w:rsid w:val="00EE4A50"/>
    <w:rsid w:val="00EE4C70"/>
    <w:rsid w:val="00EE6AA9"/>
    <w:rsid w:val="00EE7E11"/>
    <w:rsid w:val="00EF008B"/>
    <w:rsid w:val="00EF0520"/>
    <w:rsid w:val="00EF0FA6"/>
    <w:rsid w:val="00EF1A5B"/>
    <w:rsid w:val="00EF26A2"/>
    <w:rsid w:val="00EF5ECF"/>
    <w:rsid w:val="00EF6032"/>
    <w:rsid w:val="00EF72D7"/>
    <w:rsid w:val="00EF74ED"/>
    <w:rsid w:val="00EF7A52"/>
    <w:rsid w:val="00F00CD4"/>
    <w:rsid w:val="00F02B63"/>
    <w:rsid w:val="00F0304E"/>
    <w:rsid w:val="00F03A5E"/>
    <w:rsid w:val="00F03FC9"/>
    <w:rsid w:val="00F04360"/>
    <w:rsid w:val="00F043FB"/>
    <w:rsid w:val="00F0489E"/>
    <w:rsid w:val="00F048E1"/>
    <w:rsid w:val="00F07CB2"/>
    <w:rsid w:val="00F13319"/>
    <w:rsid w:val="00F150AD"/>
    <w:rsid w:val="00F150CF"/>
    <w:rsid w:val="00F154F4"/>
    <w:rsid w:val="00F1572E"/>
    <w:rsid w:val="00F16A81"/>
    <w:rsid w:val="00F16B1B"/>
    <w:rsid w:val="00F17043"/>
    <w:rsid w:val="00F171A4"/>
    <w:rsid w:val="00F172AF"/>
    <w:rsid w:val="00F17DD0"/>
    <w:rsid w:val="00F20203"/>
    <w:rsid w:val="00F205C6"/>
    <w:rsid w:val="00F20C1E"/>
    <w:rsid w:val="00F22F2E"/>
    <w:rsid w:val="00F234D1"/>
    <w:rsid w:val="00F24F53"/>
    <w:rsid w:val="00F26495"/>
    <w:rsid w:val="00F2786D"/>
    <w:rsid w:val="00F27D29"/>
    <w:rsid w:val="00F30483"/>
    <w:rsid w:val="00F30A15"/>
    <w:rsid w:val="00F33BA9"/>
    <w:rsid w:val="00F3519B"/>
    <w:rsid w:val="00F351AB"/>
    <w:rsid w:val="00F35723"/>
    <w:rsid w:val="00F3611B"/>
    <w:rsid w:val="00F3770F"/>
    <w:rsid w:val="00F40429"/>
    <w:rsid w:val="00F40796"/>
    <w:rsid w:val="00F40E8E"/>
    <w:rsid w:val="00F423AB"/>
    <w:rsid w:val="00F42C9A"/>
    <w:rsid w:val="00F4318D"/>
    <w:rsid w:val="00F43A57"/>
    <w:rsid w:val="00F43BAD"/>
    <w:rsid w:val="00F441F9"/>
    <w:rsid w:val="00F44528"/>
    <w:rsid w:val="00F463EA"/>
    <w:rsid w:val="00F47968"/>
    <w:rsid w:val="00F508DA"/>
    <w:rsid w:val="00F50E25"/>
    <w:rsid w:val="00F50EA3"/>
    <w:rsid w:val="00F50F4D"/>
    <w:rsid w:val="00F5140B"/>
    <w:rsid w:val="00F51BA3"/>
    <w:rsid w:val="00F52892"/>
    <w:rsid w:val="00F52B65"/>
    <w:rsid w:val="00F53587"/>
    <w:rsid w:val="00F540BD"/>
    <w:rsid w:val="00F543F3"/>
    <w:rsid w:val="00F546BF"/>
    <w:rsid w:val="00F54E77"/>
    <w:rsid w:val="00F54F08"/>
    <w:rsid w:val="00F55E5E"/>
    <w:rsid w:val="00F561E8"/>
    <w:rsid w:val="00F57D9A"/>
    <w:rsid w:val="00F57E5F"/>
    <w:rsid w:val="00F60F12"/>
    <w:rsid w:val="00F643F1"/>
    <w:rsid w:val="00F64648"/>
    <w:rsid w:val="00F64940"/>
    <w:rsid w:val="00F651D6"/>
    <w:rsid w:val="00F663A0"/>
    <w:rsid w:val="00F67C9B"/>
    <w:rsid w:val="00F70BF7"/>
    <w:rsid w:val="00F70C2F"/>
    <w:rsid w:val="00F71989"/>
    <w:rsid w:val="00F72057"/>
    <w:rsid w:val="00F727BB"/>
    <w:rsid w:val="00F73357"/>
    <w:rsid w:val="00F73567"/>
    <w:rsid w:val="00F73982"/>
    <w:rsid w:val="00F74295"/>
    <w:rsid w:val="00F74E36"/>
    <w:rsid w:val="00F74E8A"/>
    <w:rsid w:val="00F75206"/>
    <w:rsid w:val="00F757C5"/>
    <w:rsid w:val="00F7750E"/>
    <w:rsid w:val="00F7760F"/>
    <w:rsid w:val="00F82574"/>
    <w:rsid w:val="00F830BD"/>
    <w:rsid w:val="00F847C2"/>
    <w:rsid w:val="00F8484E"/>
    <w:rsid w:val="00F8497B"/>
    <w:rsid w:val="00F84BD2"/>
    <w:rsid w:val="00F84E22"/>
    <w:rsid w:val="00F85186"/>
    <w:rsid w:val="00F85F4F"/>
    <w:rsid w:val="00F860D1"/>
    <w:rsid w:val="00F863C9"/>
    <w:rsid w:val="00F86487"/>
    <w:rsid w:val="00F86A98"/>
    <w:rsid w:val="00F90E19"/>
    <w:rsid w:val="00F91193"/>
    <w:rsid w:val="00F91555"/>
    <w:rsid w:val="00F922CD"/>
    <w:rsid w:val="00F925B2"/>
    <w:rsid w:val="00F92F39"/>
    <w:rsid w:val="00F9444C"/>
    <w:rsid w:val="00F96124"/>
    <w:rsid w:val="00F9643F"/>
    <w:rsid w:val="00F96F58"/>
    <w:rsid w:val="00F97F1A"/>
    <w:rsid w:val="00FA11F2"/>
    <w:rsid w:val="00FA17BD"/>
    <w:rsid w:val="00FA1CE7"/>
    <w:rsid w:val="00FA4A8A"/>
    <w:rsid w:val="00FA4D8B"/>
    <w:rsid w:val="00FA5183"/>
    <w:rsid w:val="00FA569E"/>
    <w:rsid w:val="00FA58F6"/>
    <w:rsid w:val="00FA70A4"/>
    <w:rsid w:val="00FA784A"/>
    <w:rsid w:val="00FB23B2"/>
    <w:rsid w:val="00FB25AC"/>
    <w:rsid w:val="00FB2681"/>
    <w:rsid w:val="00FB4851"/>
    <w:rsid w:val="00FB494E"/>
    <w:rsid w:val="00FB509E"/>
    <w:rsid w:val="00FB511B"/>
    <w:rsid w:val="00FB51E5"/>
    <w:rsid w:val="00FB610E"/>
    <w:rsid w:val="00FB6676"/>
    <w:rsid w:val="00FC0EA1"/>
    <w:rsid w:val="00FC158C"/>
    <w:rsid w:val="00FC1FE2"/>
    <w:rsid w:val="00FC2EC9"/>
    <w:rsid w:val="00FC3355"/>
    <w:rsid w:val="00FC4955"/>
    <w:rsid w:val="00FC4A1B"/>
    <w:rsid w:val="00FC4B03"/>
    <w:rsid w:val="00FC4B35"/>
    <w:rsid w:val="00FC4B65"/>
    <w:rsid w:val="00FC57EB"/>
    <w:rsid w:val="00FC6283"/>
    <w:rsid w:val="00FD091E"/>
    <w:rsid w:val="00FD0CC9"/>
    <w:rsid w:val="00FD1426"/>
    <w:rsid w:val="00FD1721"/>
    <w:rsid w:val="00FD1A75"/>
    <w:rsid w:val="00FD29E8"/>
    <w:rsid w:val="00FD32F6"/>
    <w:rsid w:val="00FD3976"/>
    <w:rsid w:val="00FD4DBE"/>
    <w:rsid w:val="00FD4E5C"/>
    <w:rsid w:val="00FD5355"/>
    <w:rsid w:val="00FD5D0D"/>
    <w:rsid w:val="00FD6157"/>
    <w:rsid w:val="00FD642E"/>
    <w:rsid w:val="00FD6DD4"/>
    <w:rsid w:val="00FD7222"/>
    <w:rsid w:val="00FD7508"/>
    <w:rsid w:val="00FD794F"/>
    <w:rsid w:val="00FD7E25"/>
    <w:rsid w:val="00FE0EA8"/>
    <w:rsid w:val="00FE0EBE"/>
    <w:rsid w:val="00FE3792"/>
    <w:rsid w:val="00FE37B8"/>
    <w:rsid w:val="00FE421C"/>
    <w:rsid w:val="00FE46D6"/>
    <w:rsid w:val="00FE48E8"/>
    <w:rsid w:val="00FE501B"/>
    <w:rsid w:val="00FE552E"/>
    <w:rsid w:val="00FE55D3"/>
    <w:rsid w:val="00FE62BC"/>
    <w:rsid w:val="00FF0428"/>
    <w:rsid w:val="00FF0526"/>
    <w:rsid w:val="00FF0A33"/>
    <w:rsid w:val="00FF1C5F"/>
    <w:rsid w:val="00FF2D36"/>
    <w:rsid w:val="00FF37C8"/>
    <w:rsid w:val="00FF4543"/>
    <w:rsid w:val="00FF48BD"/>
    <w:rsid w:val="00FF4FF5"/>
    <w:rsid w:val="00FF568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6B62"/>
  <w15:docId w15:val="{C87DC5D0-639B-4F25-BF8E-3EF08FC6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46"/>
    <w:pPr>
      <w:autoSpaceDE w:val="0"/>
      <w:autoSpaceDN w:val="0"/>
      <w:adjustRightInd w:val="0"/>
      <w:spacing w:before="120" w:after="0" w:line="360" w:lineRule="auto"/>
      <w:ind w:firstLine="720"/>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667787"/>
    <w:pPr>
      <w:keepNext/>
      <w:spacing w:before="240" w:after="60"/>
      <w:ind w:firstLine="0"/>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667787"/>
    <w:pPr>
      <w:keepNext/>
      <w:keepLines/>
      <w:spacing w:before="200"/>
      <w:ind w:left="360" w:firstLine="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667787"/>
    <w:rPr>
      <w:rFonts w:ascii="Times New Roman Bold" w:eastAsiaTheme="majorEastAsia" w:hAnsi="Times New Roman Bold" w:cstheme="majorBidi"/>
      <w:b/>
      <w:bCs/>
      <w:sz w:val="24"/>
    </w:rPr>
  </w:style>
  <w:style w:type="paragraph" w:styleId="FootnoteText">
    <w:name w:val="footnote text"/>
    <w:basedOn w:val="Normal"/>
    <w:link w:val="FootnoteTextChar"/>
    <w:unhideWhenUsed/>
    <w:qFormat/>
    <w:rsid w:val="005E15BC"/>
    <w:pPr>
      <w:spacing w:line="240" w:lineRule="auto"/>
      <w:ind w:left="720" w:right="216" w:hanging="360"/>
    </w:pPr>
    <w:rPr>
      <w:rFonts w:cstheme="minorBidi"/>
      <w:sz w:val="20"/>
    </w:rPr>
  </w:style>
  <w:style w:type="character" w:customStyle="1" w:styleId="FootnoteTextChar">
    <w:name w:val="Footnote Text Char"/>
    <w:basedOn w:val="DefaultParagraphFont"/>
    <w:link w:val="FootnoteText"/>
    <w:rsid w:val="005E15BC"/>
    <w:rPr>
      <w:rFonts w:ascii="Times New Roman" w:eastAsiaTheme="minorEastAsia"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667787"/>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uiPriority w:val="99"/>
    <w:rsid w:val="00331B18"/>
    <w:pPr>
      <w:tabs>
        <w:tab w:val="center" w:pos="4320"/>
        <w:tab w:val="right" w:pos="8640"/>
      </w:tabs>
      <w:spacing w:before="0"/>
    </w:pPr>
  </w:style>
  <w:style w:type="character" w:customStyle="1" w:styleId="FooterChar">
    <w:name w:val="Footer Char"/>
    <w:basedOn w:val="DefaultParagraphFont"/>
    <w:link w:val="Footer"/>
    <w:uiPriority w:val="99"/>
    <w:rsid w:val="00331B18"/>
    <w:rPr>
      <w:rFonts w:ascii="Times New Roman" w:eastAsiaTheme="minorEastAsia" w:hAnsi="Times New Roman" w:cs="Times New Roman"/>
      <w:sz w:val="24"/>
      <w:szCs w:val="20"/>
    </w:rPr>
  </w:style>
  <w:style w:type="character" w:styleId="FootnoteReference">
    <w:name w:val="footnote reference"/>
    <w:basedOn w:val="DefaultParagraphFont"/>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1">
    <w:name w:val="Footnote Text1"/>
    <w:basedOn w:val="Normal"/>
    <w:link w:val="FootnotetextChar0"/>
    <w:qFormat/>
    <w:rsid w:val="00A6560D"/>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uiPriority w:val="20"/>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B37A92"/>
    <w:pPr>
      <w:autoSpaceDE/>
      <w:autoSpaceDN/>
      <w:adjustRightInd/>
    </w:pPr>
    <w:rPr>
      <w:rFonts w:eastAsiaTheme="minorHAnsi"/>
      <w:szCs w:val="22"/>
    </w:rPr>
  </w:style>
  <w:style w:type="character" w:customStyle="1" w:styleId="FootnoteChar">
    <w:name w:val="Footnote Char"/>
    <w:basedOn w:val="FootnoteTextChar"/>
    <w:link w:val="Footnote"/>
    <w:rsid w:val="00B37A92"/>
    <w:rPr>
      <w:rFonts w:ascii="Times New Roman" w:eastAsiaTheme="minorHAnsi" w:hAnsi="Times New Roman"/>
      <w:sz w:val="20"/>
      <w:szCs w:val="20"/>
    </w:rPr>
  </w:style>
  <w:style w:type="character" w:customStyle="1" w:styleId="headertext">
    <w:name w:val="headertext"/>
    <w:basedOn w:val="DefaultParagraphFont"/>
    <w:rsid w:val="00C36F57"/>
  </w:style>
  <w:style w:type="character" w:customStyle="1" w:styleId="Date1">
    <w:name w:val="Date1"/>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 w:type="character" w:customStyle="1" w:styleId="apple-style-span">
    <w:name w:val="apple-style-span"/>
    <w:basedOn w:val="DefaultParagraphFont"/>
    <w:rsid w:val="004849C6"/>
  </w:style>
  <w:style w:type="character" w:customStyle="1" w:styleId="apple-converted-space">
    <w:name w:val="apple-converted-space"/>
    <w:basedOn w:val="DefaultParagraphFont"/>
    <w:rsid w:val="00AB0AA5"/>
  </w:style>
  <w:style w:type="character" w:styleId="FollowedHyperlink">
    <w:name w:val="FollowedHyperlink"/>
    <w:basedOn w:val="DefaultParagraphFont"/>
    <w:uiPriority w:val="99"/>
    <w:semiHidden/>
    <w:unhideWhenUsed/>
    <w:rsid w:val="0074298A"/>
    <w:rPr>
      <w:color w:val="800080" w:themeColor="followedHyperlink"/>
      <w:u w:val="single"/>
    </w:rPr>
  </w:style>
  <w:style w:type="character" w:customStyle="1" w:styleId="FootnotetextChar0">
    <w:name w:val="Footnote text Char"/>
    <w:basedOn w:val="FootnoteTextChar"/>
    <w:link w:val="FootnoteText1"/>
    <w:rsid w:val="00A6560D"/>
    <w:rPr>
      <w:rFonts w:ascii="Times New Roman" w:eastAsiaTheme="minorHAnsi" w:hAnsi="Times New Roman"/>
      <w:sz w:val="20"/>
      <w:szCs w:val="20"/>
    </w:rPr>
  </w:style>
  <w:style w:type="character" w:customStyle="1" w:styleId="klink">
    <w:name w:val="klink"/>
    <w:basedOn w:val="DefaultParagraphFont"/>
    <w:rsid w:val="00785B96"/>
  </w:style>
  <w:style w:type="paragraph" w:styleId="PlainText">
    <w:name w:val="Plain Text"/>
    <w:basedOn w:val="Normal"/>
    <w:link w:val="PlainTextChar"/>
    <w:uiPriority w:val="99"/>
    <w:semiHidden/>
    <w:unhideWhenUsed/>
    <w:rsid w:val="00EC2717"/>
    <w:pPr>
      <w:autoSpaceDE/>
      <w:autoSpaceDN/>
      <w:adjustRightInd/>
      <w:spacing w:before="0"/>
    </w:pPr>
    <w:rPr>
      <w:rFonts w:eastAsiaTheme="minorHAnsi" w:cstheme="minorBidi"/>
      <w:szCs w:val="21"/>
    </w:rPr>
  </w:style>
  <w:style w:type="character" w:customStyle="1" w:styleId="PlainTextChar">
    <w:name w:val="Plain Text Char"/>
    <w:basedOn w:val="DefaultParagraphFont"/>
    <w:link w:val="PlainText"/>
    <w:uiPriority w:val="99"/>
    <w:semiHidden/>
    <w:rsid w:val="00EC2717"/>
    <w:rPr>
      <w:rFonts w:ascii="Times New Roman" w:eastAsiaTheme="minorHAnsi" w:hAnsi="Times New Roman"/>
      <w:sz w:val="24"/>
      <w:szCs w:val="21"/>
    </w:rPr>
  </w:style>
  <w:style w:type="character" w:customStyle="1" w:styleId="style43">
    <w:name w:val="style43"/>
    <w:basedOn w:val="DefaultParagraphFont"/>
    <w:rsid w:val="00CF04A0"/>
  </w:style>
  <w:style w:type="character" w:customStyle="1" w:styleId="pgnum">
    <w:name w:val="pgnum"/>
    <w:basedOn w:val="DefaultParagraphFont"/>
    <w:rsid w:val="00D961C2"/>
  </w:style>
  <w:style w:type="character" w:customStyle="1" w:styleId="sup">
    <w:name w:val="sup"/>
    <w:basedOn w:val="DefaultParagraphFont"/>
    <w:rsid w:val="00D961C2"/>
  </w:style>
  <w:style w:type="paragraph" w:customStyle="1" w:styleId="story-body-text">
    <w:name w:val="story-body-text"/>
    <w:basedOn w:val="Normal"/>
    <w:rsid w:val="009A5DAD"/>
    <w:pPr>
      <w:autoSpaceDE/>
      <w:autoSpaceDN/>
      <w:adjustRightInd/>
      <w:spacing w:before="100" w:beforeAutospacing="1" w:after="100" w:afterAutospacing="1"/>
    </w:pPr>
    <w:rPr>
      <w:rFonts w:eastAsia="Times New Roman"/>
      <w:szCs w:val="24"/>
    </w:rPr>
  </w:style>
  <w:style w:type="paragraph" w:customStyle="1" w:styleId="CM4">
    <w:name w:val="CM4"/>
    <w:basedOn w:val="Default"/>
    <w:next w:val="Default"/>
    <w:uiPriority w:val="99"/>
    <w:rsid w:val="007655A1"/>
    <w:pPr>
      <w:spacing w:line="276" w:lineRule="atLeast"/>
    </w:pPr>
    <w:rPr>
      <w:rFonts w:ascii="Century Schoolbook" w:hAnsi="Century Schoolbook" w:cstheme="minorBidi"/>
      <w:color w:val="auto"/>
    </w:rPr>
  </w:style>
  <w:style w:type="character" w:customStyle="1" w:styleId="reference-text">
    <w:name w:val="reference-text"/>
    <w:basedOn w:val="DefaultParagraphFont"/>
    <w:rsid w:val="00367E4F"/>
  </w:style>
  <w:style w:type="character" w:customStyle="1" w:styleId="tx">
    <w:name w:val="tx"/>
    <w:basedOn w:val="DefaultParagraphFont"/>
    <w:rsid w:val="00D10C68"/>
  </w:style>
  <w:style w:type="character" w:styleId="UnresolvedMention">
    <w:name w:val="Unresolved Mention"/>
    <w:basedOn w:val="DefaultParagraphFont"/>
    <w:uiPriority w:val="99"/>
    <w:semiHidden/>
    <w:unhideWhenUsed/>
    <w:rsid w:val="00364584"/>
    <w:rPr>
      <w:color w:val="808080"/>
      <w:shd w:val="clear" w:color="auto" w:fill="E6E6E6"/>
    </w:rPr>
  </w:style>
  <w:style w:type="paragraph" w:customStyle="1" w:styleId="canvas-atom">
    <w:name w:val="canvas-atom"/>
    <w:basedOn w:val="Normal"/>
    <w:rsid w:val="00A75131"/>
    <w:pPr>
      <w:autoSpaceDE/>
      <w:autoSpaceDN/>
      <w:adjustRightInd/>
      <w:spacing w:before="100" w:beforeAutospacing="1" w:after="100" w:afterAutospacing="1" w:line="240" w:lineRule="auto"/>
      <w:ind w:firstLine="0"/>
    </w:pPr>
    <w:rPr>
      <w:rFonts w:eastAsia="Times New Roman"/>
      <w:szCs w:val="24"/>
    </w:rPr>
  </w:style>
  <w:style w:type="paragraph" w:customStyle="1" w:styleId="bodytext">
    <w:name w:val="bodytext"/>
    <w:basedOn w:val="Normal"/>
    <w:rsid w:val="006B77CE"/>
    <w:pPr>
      <w:autoSpaceDE/>
      <w:autoSpaceDN/>
      <w:adjustRightInd/>
      <w:spacing w:before="100" w:beforeAutospacing="1" w:after="225" w:line="270" w:lineRule="atLeast"/>
      <w:ind w:firstLine="0"/>
    </w:pPr>
    <w:rPr>
      <w:rFonts w:ascii="Arial" w:eastAsiaTheme="minorHAnsi" w:hAnsi="Arial" w:cs="Arial"/>
      <w:sz w:val="21"/>
      <w:szCs w:val="21"/>
    </w:rPr>
  </w:style>
  <w:style w:type="paragraph" w:customStyle="1" w:styleId="Normal1">
    <w:name w:val="Normal1"/>
    <w:basedOn w:val="Normal"/>
    <w:rsid w:val="00FA5183"/>
    <w:pPr>
      <w:autoSpaceDE/>
      <w:autoSpaceDN/>
      <w:adjustRightInd/>
      <w:spacing w:before="100" w:beforeAutospacing="1" w:after="100" w:afterAutospacing="1" w:line="240" w:lineRule="auto"/>
      <w:ind w:firstLine="0"/>
    </w:pPr>
    <w:rPr>
      <w:rFonts w:eastAsia="Times New Roman"/>
      <w:szCs w:val="24"/>
    </w:rPr>
  </w:style>
  <w:style w:type="character" w:customStyle="1" w:styleId="balancedheadline">
    <w:name w:val="balancedheadline"/>
    <w:basedOn w:val="DefaultParagraphFont"/>
    <w:rsid w:val="00472030"/>
  </w:style>
  <w:style w:type="paragraph" w:customStyle="1" w:styleId="css-exrw3m">
    <w:name w:val="css-exrw3m"/>
    <w:basedOn w:val="Normal"/>
    <w:rsid w:val="00A17D07"/>
    <w:pPr>
      <w:autoSpaceDE/>
      <w:autoSpaceDN/>
      <w:adjustRightInd/>
      <w:spacing w:before="100" w:beforeAutospacing="1" w:after="100" w:afterAutospacing="1" w:line="240" w:lineRule="auto"/>
      <w:ind w:firstLine="0"/>
    </w:pPr>
    <w:rPr>
      <w:rFonts w:eastAsia="Times New Roman"/>
      <w:szCs w:val="24"/>
    </w:rPr>
  </w:style>
  <w:style w:type="paragraph" w:customStyle="1" w:styleId="css-utmy9y">
    <w:name w:val="css-utmy9y"/>
    <w:basedOn w:val="Normal"/>
    <w:rsid w:val="00A17D07"/>
    <w:pPr>
      <w:autoSpaceDE/>
      <w:autoSpaceDN/>
      <w:adjustRightInd/>
      <w:spacing w:before="100" w:beforeAutospacing="1" w:after="100" w:afterAutospacing="1" w:line="240" w:lineRule="auto"/>
      <w:ind w:firstLine="0"/>
    </w:pPr>
    <w:rPr>
      <w:rFonts w:eastAsia="Times New Roman"/>
      <w:szCs w:val="24"/>
    </w:rPr>
  </w:style>
  <w:style w:type="character" w:customStyle="1" w:styleId="post-byline">
    <w:name w:val="post-byline"/>
    <w:basedOn w:val="DefaultParagraphFont"/>
    <w:rsid w:val="005F70D5"/>
  </w:style>
  <w:style w:type="character" w:customStyle="1" w:styleId="post-categories">
    <w:name w:val="post-categories"/>
    <w:basedOn w:val="DefaultParagraphFont"/>
    <w:rsid w:val="005F70D5"/>
  </w:style>
  <w:style w:type="paragraph" w:customStyle="1" w:styleId="xxmsonormal">
    <w:name w:val="xxmsonormal"/>
    <w:basedOn w:val="Normal"/>
    <w:rsid w:val="004353C2"/>
    <w:pPr>
      <w:autoSpaceDE/>
      <w:autoSpaceDN/>
      <w:adjustRightInd/>
      <w:spacing w:before="100" w:beforeAutospacing="1" w:after="100" w:afterAutospacing="1" w:line="240" w:lineRule="auto"/>
      <w:ind w:firstLine="0"/>
    </w:pPr>
    <w:rPr>
      <w:rFonts w:ascii="Calibri" w:eastAsiaTheme="minorHAnsi" w:hAnsi="Calibri" w:cs="Calibri"/>
      <w:color w:val="000000"/>
      <w:sz w:val="22"/>
      <w:szCs w:val="22"/>
    </w:rPr>
  </w:style>
  <w:style w:type="character" w:customStyle="1" w:styleId="xxmsofootnotereference">
    <w:name w:val="xxmsofootnotereference"/>
    <w:basedOn w:val="DefaultParagraphFont"/>
    <w:rsid w:val="004353C2"/>
    <w:rPr>
      <w:rFonts w:ascii="Arial" w:hAnsi="Arial" w:cs="Arial" w:hint="default"/>
    </w:rPr>
  </w:style>
  <w:style w:type="character" w:customStyle="1" w:styleId="company-name-type">
    <w:name w:val="company-name-type"/>
    <w:basedOn w:val="DefaultParagraphFont"/>
    <w:rsid w:val="008A2ED0"/>
  </w:style>
  <w:style w:type="character" w:customStyle="1" w:styleId="muxgbd">
    <w:name w:val="muxgbd"/>
    <w:basedOn w:val="DefaultParagraphFont"/>
    <w:rsid w:val="008C1986"/>
  </w:style>
  <w:style w:type="character" w:styleId="BookTitle">
    <w:name w:val="Book Title"/>
    <w:basedOn w:val="DefaultParagraphFont"/>
    <w:uiPriority w:val="33"/>
    <w:unhideWhenUsed/>
    <w:qFormat/>
    <w:rsid w:val="00B83C24"/>
    <w:rPr>
      <w:b/>
      <w:bCs/>
      <w:i/>
      <w:iCs/>
      <w:spacing w:val="5"/>
    </w:rPr>
  </w:style>
  <w:style w:type="character" w:customStyle="1" w:styleId="hidden">
    <w:name w:val="hidden"/>
    <w:basedOn w:val="DefaultParagraphFont"/>
    <w:rsid w:val="002B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38904810">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254214397">
      <w:bodyDiv w:val="1"/>
      <w:marLeft w:val="0"/>
      <w:marRight w:val="0"/>
      <w:marTop w:val="0"/>
      <w:marBottom w:val="0"/>
      <w:divBdr>
        <w:top w:val="none" w:sz="0" w:space="0" w:color="auto"/>
        <w:left w:val="none" w:sz="0" w:space="0" w:color="auto"/>
        <w:bottom w:val="none" w:sz="0" w:space="0" w:color="auto"/>
        <w:right w:val="none" w:sz="0" w:space="0" w:color="auto"/>
      </w:divBdr>
    </w:div>
    <w:div w:id="255793246">
      <w:bodyDiv w:val="1"/>
      <w:marLeft w:val="0"/>
      <w:marRight w:val="0"/>
      <w:marTop w:val="0"/>
      <w:marBottom w:val="0"/>
      <w:divBdr>
        <w:top w:val="none" w:sz="0" w:space="0" w:color="auto"/>
        <w:left w:val="none" w:sz="0" w:space="0" w:color="auto"/>
        <w:bottom w:val="none" w:sz="0" w:space="0" w:color="auto"/>
        <w:right w:val="none" w:sz="0" w:space="0" w:color="auto"/>
      </w:divBdr>
    </w:div>
    <w:div w:id="256445578">
      <w:bodyDiv w:val="1"/>
      <w:marLeft w:val="0"/>
      <w:marRight w:val="0"/>
      <w:marTop w:val="0"/>
      <w:marBottom w:val="0"/>
      <w:divBdr>
        <w:top w:val="none" w:sz="0" w:space="0" w:color="auto"/>
        <w:left w:val="none" w:sz="0" w:space="0" w:color="auto"/>
        <w:bottom w:val="none" w:sz="0" w:space="0" w:color="auto"/>
        <w:right w:val="none" w:sz="0" w:space="0" w:color="auto"/>
      </w:divBdr>
    </w:div>
    <w:div w:id="378094800">
      <w:bodyDiv w:val="1"/>
      <w:marLeft w:val="0"/>
      <w:marRight w:val="0"/>
      <w:marTop w:val="0"/>
      <w:marBottom w:val="0"/>
      <w:divBdr>
        <w:top w:val="none" w:sz="0" w:space="0" w:color="auto"/>
        <w:left w:val="none" w:sz="0" w:space="0" w:color="auto"/>
        <w:bottom w:val="none" w:sz="0" w:space="0" w:color="auto"/>
        <w:right w:val="none" w:sz="0" w:space="0" w:color="auto"/>
      </w:divBdr>
    </w:div>
    <w:div w:id="445584365">
      <w:bodyDiv w:val="1"/>
      <w:marLeft w:val="0"/>
      <w:marRight w:val="0"/>
      <w:marTop w:val="0"/>
      <w:marBottom w:val="0"/>
      <w:divBdr>
        <w:top w:val="none" w:sz="0" w:space="0" w:color="auto"/>
        <w:left w:val="none" w:sz="0" w:space="0" w:color="auto"/>
        <w:bottom w:val="none" w:sz="0" w:space="0" w:color="auto"/>
        <w:right w:val="none" w:sz="0" w:space="0" w:color="auto"/>
      </w:divBdr>
    </w:div>
    <w:div w:id="459419335">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505249573">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3280870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571281507">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625889968">
      <w:bodyDiv w:val="1"/>
      <w:marLeft w:val="0"/>
      <w:marRight w:val="0"/>
      <w:marTop w:val="0"/>
      <w:marBottom w:val="0"/>
      <w:divBdr>
        <w:top w:val="none" w:sz="0" w:space="0" w:color="auto"/>
        <w:left w:val="none" w:sz="0" w:space="0" w:color="auto"/>
        <w:bottom w:val="none" w:sz="0" w:space="0" w:color="auto"/>
        <w:right w:val="none" w:sz="0" w:space="0" w:color="auto"/>
      </w:divBdr>
    </w:div>
    <w:div w:id="691688752">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821584515">
      <w:bodyDiv w:val="1"/>
      <w:marLeft w:val="0"/>
      <w:marRight w:val="0"/>
      <w:marTop w:val="0"/>
      <w:marBottom w:val="0"/>
      <w:divBdr>
        <w:top w:val="none" w:sz="0" w:space="0" w:color="auto"/>
        <w:left w:val="none" w:sz="0" w:space="0" w:color="auto"/>
        <w:bottom w:val="none" w:sz="0" w:space="0" w:color="auto"/>
        <w:right w:val="none" w:sz="0" w:space="0" w:color="auto"/>
      </w:divBdr>
    </w:div>
    <w:div w:id="910773675">
      <w:bodyDiv w:val="1"/>
      <w:marLeft w:val="0"/>
      <w:marRight w:val="0"/>
      <w:marTop w:val="0"/>
      <w:marBottom w:val="0"/>
      <w:divBdr>
        <w:top w:val="none" w:sz="0" w:space="0" w:color="auto"/>
        <w:left w:val="none" w:sz="0" w:space="0" w:color="auto"/>
        <w:bottom w:val="none" w:sz="0" w:space="0" w:color="auto"/>
        <w:right w:val="none" w:sz="0" w:space="0" w:color="auto"/>
      </w:divBdr>
    </w:div>
    <w:div w:id="927542078">
      <w:bodyDiv w:val="1"/>
      <w:marLeft w:val="0"/>
      <w:marRight w:val="0"/>
      <w:marTop w:val="0"/>
      <w:marBottom w:val="0"/>
      <w:divBdr>
        <w:top w:val="none" w:sz="0" w:space="0" w:color="auto"/>
        <w:left w:val="none" w:sz="0" w:space="0" w:color="auto"/>
        <w:bottom w:val="none" w:sz="0" w:space="0" w:color="auto"/>
        <w:right w:val="none" w:sz="0" w:space="0" w:color="auto"/>
      </w:divBdr>
    </w:div>
    <w:div w:id="981155989">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044673675">
      <w:bodyDiv w:val="1"/>
      <w:marLeft w:val="0"/>
      <w:marRight w:val="0"/>
      <w:marTop w:val="0"/>
      <w:marBottom w:val="0"/>
      <w:divBdr>
        <w:top w:val="none" w:sz="0" w:space="0" w:color="auto"/>
        <w:left w:val="none" w:sz="0" w:space="0" w:color="auto"/>
        <w:bottom w:val="none" w:sz="0" w:space="0" w:color="auto"/>
        <w:right w:val="none" w:sz="0" w:space="0" w:color="auto"/>
      </w:divBdr>
    </w:div>
    <w:div w:id="1055086363">
      <w:bodyDiv w:val="1"/>
      <w:marLeft w:val="0"/>
      <w:marRight w:val="0"/>
      <w:marTop w:val="0"/>
      <w:marBottom w:val="0"/>
      <w:divBdr>
        <w:top w:val="none" w:sz="0" w:space="0" w:color="auto"/>
        <w:left w:val="none" w:sz="0" w:space="0" w:color="auto"/>
        <w:bottom w:val="none" w:sz="0" w:space="0" w:color="auto"/>
        <w:right w:val="none" w:sz="0" w:space="0" w:color="auto"/>
      </w:divBdr>
    </w:div>
    <w:div w:id="1077478862">
      <w:bodyDiv w:val="1"/>
      <w:marLeft w:val="0"/>
      <w:marRight w:val="0"/>
      <w:marTop w:val="0"/>
      <w:marBottom w:val="0"/>
      <w:divBdr>
        <w:top w:val="none" w:sz="0" w:space="0" w:color="auto"/>
        <w:left w:val="none" w:sz="0" w:space="0" w:color="auto"/>
        <w:bottom w:val="none" w:sz="0" w:space="0" w:color="auto"/>
        <w:right w:val="none" w:sz="0" w:space="0" w:color="auto"/>
      </w:divBdr>
    </w:div>
    <w:div w:id="1123697253">
      <w:bodyDiv w:val="1"/>
      <w:marLeft w:val="0"/>
      <w:marRight w:val="0"/>
      <w:marTop w:val="0"/>
      <w:marBottom w:val="0"/>
      <w:divBdr>
        <w:top w:val="none" w:sz="0" w:space="0" w:color="auto"/>
        <w:left w:val="none" w:sz="0" w:space="0" w:color="auto"/>
        <w:bottom w:val="none" w:sz="0" w:space="0" w:color="auto"/>
        <w:right w:val="none" w:sz="0" w:space="0" w:color="auto"/>
      </w:divBdr>
      <w:divsChild>
        <w:div w:id="43718345">
          <w:marLeft w:val="0"/>
          <w:marRight w:val="0"/>
          <w:marTop w:val="0"/>
          <w:marBottom w:val="0"/>
          <w:divBdr>
            <w:top w:val="none" w:sz="0" w:space="0" w:color="auto"/>
            <w:left w:val="none" w:sz="0" w:space="0" w:color="auto"/>
            <w:bottom w:val="none" w:sz="0" w:space="0" w:color="auto"/>
            <w:right w:val="none" w:sz="0" w:space="0" w:color="auto"/>
          </w:divBdr>
        </w:div>
        <w:div w:id="1918247023">
          <w:marLeft w:val="0"/>
          <w:marRight w:val="0"/>
          <w:marTop w:val="375"/>
          <w:marBottom w:val="0"/>
          <w:divBdr>
            <w:top w:val="none" w:sz="0" w:space="0" w:color="auto"/>
            <w:left w:val="none" w:sz="0" w:space="0" w:color="auto"/>
            <w:bottom w:val="none" w:sz="0" w:space="0" w:color="auto"/>
            <w:right w:val="none" w:sz="0" w:space="0" w:color="auto"/>
          </w:divBdr>
          <w:divsChild>
            <w:div w:id="907613906">
              <w:marLeft w:val="0"/>
              <w:marRight w:val="0"/>
              <w:marTop w:val="0"/>
              <w:marBottom w:val="0"/>
              <w:divBdr>
                <w:top w:val="none" w:sz="0" w:space="0" w:color="auto"/>
                <w:left w:val="none" w:sz="0" w:space="0" w:color="auto"/>
                <w:bottom w:val="none" w:sz="0" w:space="0" w:color="auto"/>
                <w:right w:val="none" w:sz="0" w:space="0" w:color="auto"/>
              </w:divBdr>
              <w:divsChild>
                <w:div w:id="852039626">
                  <w:marLeft w:val="0"/>
                  <w:marRight w:val="0"/>
                  <w:marTop w:val="0"/>
                  <w:marBottom w:val="0"/>
                  <w:divBdr>
                    <w:top w:val="none" w:sz="0" w:space="0" w:color="auto"/>
                    <w:left w:val="none" w:sz="0" w:space="0" w:color="auto"/>
                    <w:bottom w:val="none" w:sz="0" w:space="0" w:color="auto"/>
                    <w:right w:val="none" w:sz="0" w:space="0" w:color="auto"/>
                  </w:divBdr>
                  <w:divsChild>
                    <w:div w:id="7135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3319">
      <w:bodyDiv w:val="1"/>
      <w:marLeft w:val="0"/>
      <w:marRight w:val="0"/>
      <w:marTop w:val="0"/>
      <w:marBottom w:val="0"/>
      <w:divBdr>
        <w:top w:val="none" w:sz="0" w:space="0" w:color="auto"/>
        <w:left w:val="none" w:sz="0" w:space="0" w:color="auto"/>
        <w:bottom w:val="none" w:sz="0" w:space="0" w:color="auto"/>
        <w:right w:val="none" w:sz="0" w:space="0" w:color="auto"/>
      </w:divBdr>
    </w:div>
    <w:div w:id="1146706092">
      <w:bodyDiv w:val="1"/>
      <w:marLeft w:val="0"/>
      <w:marRight w:val="0"/>
      <w:marTop w:val="0"/>
      <w:marBottom w:val="0"/>
      <w:divBdr>
        <w:top w:val="none" w:sz="0" w:space="0" w:color="auto"/>
        <w:left w:val="none" w:sz="0" w:space="0" w:color="auto"/>
        <w:bottom w:val="none" w:sz="0" w:space="0" w:color="auto"/>
        <w:right w:val="none" w:sz="0" w:space="0" w:color="auto"/>
      </w:divBdr>
    </w:div>
    <w:div w:id="1163811148">
      <w:bodyDiv w:val="1"/>
      <w:marLeft w:val="0"/>
      <w:marRight w:val="0"/>
      <w:marTop w:val="0"/>
      <w:marBottom w:val="0"/>
      <w:divBdr>
        <w:top w:val="none" w:sz="0" w:space="0" w:color="auto"/>
        <w:left w:val="none" w:sz="0" w:space="0" w:color="auto"/>
        <w:bottom w:val="none" w:sz="0" w:space="0" w:color="auto"/>
        <w:right w:val="none" w:sz="0" w:space="0" w:color="auto"/>
      </w:divBdr>
      <w:divsChild>
        <w:div w:id="932394773">
          <w:marLeft w:val="0"/>
          <w:marRight w:val="0"/>
          <w:marTop w:val="150"/>
          <w:marBottom w:val="0"/>
          <w:divBdr>
            <w:top w:val="none" w:sz="0" w:space="0" w:color="auto"/>
            <w:left w:val="none" w:sz="0" w:space="0" w:color="auto"/>
            <w:bottom w:val="none" w:sz="0" w:space="0" w:color="auto"/>
            <w:right w:val="none" w:sz="0" w:space="0" w:color="auto"/>
          </w:divBdr>
        </w:div>
      </w:divsChild>
    </w:div>
    <w:div w:id="1248611965">
      <w:bodyDiv w:val="1"/>
      <w:marLeft w:val="0"/>
      <w:marRight w:val="0"/>
      <w:marTop w:val="0"/>
      <w:marBottom w:val="0"/>
      <w:divBdr>
        <w:top w:val="none" w:sz="0" w:space="0" w:color="auto"/>
        <w:left w:val="none" w:sz="0" w:space="0" w:color="auto"/>
        <w:bottom w:val="none" w:sz="0" w:space="0" w:color="auto"/>
        <w:right w:val="none" w:sz="0" w:space="0" w:color="auto"/>
      </w:divBdr>
    </w:div>
    <w:div w:id="1253315904">
      <w:bodyDiv w:val="1"/>
      <w:marLeft w:val="0"/>
      <w:marRight w:val="0"/>
      <w:marTop w:val="0"/>
      <w:marBottom w:val="0"/>
      <w:divBdr>
        <w:top w:val="none" w:sz="0" w:space="0" w:color="auto"/>
        <w:left w:val="none" w:sz="0" w:space="0" w:color="auto"/>
        <w:bottom w:val="none" w:sz="0" w:space="0" w:color="auto"/>
        <w:right w:val="none" w:sz="0" w:space="0" w:color="auto"/>
      </w:divBdr>
    </w:div>
    <w:div w:id="1284574950">
      <w:bodyDiv w:val="1"/>
      <w:marLeft w:val="0"/>
      <w:marRight w:val="0"/>
      <w:marTop w:val="0"/>
      <w:marBottom w:val="0"/>
      <w:divBdr>
        <w:top w:val="none" w:sz="0" w:space="0" w:color="auto"/>
        <w:left w:val="none" w:sz="0" w:space="0" w:color="auto"/>
        <w:bottom w:val="none" w:sz="0" w:space="0" w:color="auto"/>
        <w:right w:val="none" w:sz="0" w:space="0" w:color="auto"/>
      </w:divBdr>
    </w:div>
    <w:div w:id="1383751784">
      <w:bodyDiv w:val="1"/>
      <w:marLeft w:val="0"/>
      <w:marRight w:val="0"/>
      <w:marTop w:val="0"/>
      <w:marBottom w:val="0"/>
      <w:divBdr>
        <w:top w:val="none" w:sz="0" w:space="0" w:color="auto"/>
        <w:left w:val="none" w:sz="0" w:space="0" w:color="auto"/>
        <w:bottom w:val="none" w:sz="0" w:space="0" w:color="auto"/>
        <w:right w:val="none" w:sz="0" w:space="0" w:color="auto"/>
      </w:divBdr>
    </w:div>
    <w:div w:id="1393582541">
      <w:bodyDiv w:val="1"/>
      <w:marLeft w:val="0"/>
      <w:marRight w:val="0"/>
      <w:marTop w:val="0"/>
      <w:marBottom w:val="0"/>
      <w:divBdr>
        <w:top w:val="none" w:sz="0" w:space="0" w:color="auto"/>
        <w:left w:val="none" w:sz="0" w:space="0" w:color="auto"/>
        <w:bottom w:val="none" w:sz="0" w:space="0" w:color="auto"/>
        <w:right w:val="none" w:sz="0" w:space="0" w:color="auto"/>
      </w:divBdr>
    </w:div>
    <w:div w:id="1450200075">
      <w:bodyDiv w:val="1"/>
      <w:marLeft w:val="0"/>
      <w:marRight w:val="0"/>
      <w:marTop w:val="0"/>
      <w:marBottom w:val="0"/>
      <w:divBdr>
        <w:top w:val="none" w:sz="0" w:space="0" w:color="auto"/>
        <w:left w:val="none" w:sz="0" w:space="0" w:color="auto"/>
        <w:bottom w:val="none" w:sz="0" w:space="0" w:color="auto"/>
        <w:right w:val="none" w:sz="0" w:space="0" w:color="auto"/>
      </w:divBdr>
    </w:div>
    <w:div w:id="1509364908">
      <w:bodyDiv w:val="1"/>
      <w:marLeft w:val="0"/>
      <w:marRight w:val="0"/>
      <w:marTop w:val="0"/>
      <w:marBottom w:val="0"/>
      <w:divBdr>
        <w:top w:val="none" w:sz="0" w:space="0" w:color="auto"/>
        <w:left w:val="none" w:sz="0" w:space="0" w:color="auto"/>
        <w:bottom w:val="none" w:sz="0" w:space="0" w:color="auto"/>
        <w:right w:val="none" w:sz="0" w:space="0" w:color="auto"/>
      </w:divBdr>
    </w:div>
    <w:div w:id="1551646015">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592935574">
      <w:bodyDiv w:val="1"/>
      <w:marLeft w:val="0"/>
      <w:marRight w:val="0"/>
      <w:marTop w:val="0"/>
      <w:marBottom w:val="0"/>
      <w:divBdr>
        <w:top w:val="none" w:sz="0" w:space="0" w:color="auto"/>
        <w:left w:val="none" w:sz="0" w:space="0" w:color="auto"/>
        <w:bottom w:val="none" w:sz="0" w:space="0" w:color="auto"/>
        <w:right w:val="none" w:sz="0" w:space="0" w:color="auto"/>
      </w:divBdr>
    </w:div>
    <w:div w:id="1626811976">
      <w:bodyDiv w:val="1"/>
      <w:marLeft w:val="0"/>
      <w:marRight w:val="0"/>
      <w:marTop w:val="0"/>
      <w:marBottom w:val="0"/>
      <w:divBdr>
        <w:top w:val="none" w:sz="0" w:space="0" w:color="auto"/>
        <w:left w:val="none" w:sz="0" w:space="0" w:color="auto"/>
        <w:bottom w:val="none" w:sz="0" w:space="0" w:color="auto"/>
        <w:right w:val="none" w:sz="0" w:space="0" w:color="auto"/>
      </w:divBdr>
    </w:div>
    <w:div w:id="1662200870">
      <w:bodyDiv w:val="1"/>
      <w:marLeft w:val="0"/>
      <w:marRight w:val="0"/>
      <w:marTop w:val="0"/>
      <w:marBottom w:val="0"/>
      <w:divBdr>
        <w:top w:val="none" w:sz="0" w:space="0" w:color="auto"/>
        <w:left w:val="none" w:sz="0" w:space="0" w:color="auto"/>
        <w:bottom w:val="none" w:sz="0" w:space="0" w:color="auto"/>
        <w:right w:val="none" w:sz="0" w:space="0" w:color="auto"/>
      </w:divBdr>
    </w:div>
    <w:div w:id="1741052031">
      <w:bodyDiv w:val="1"/>
      <w:marLeft w:val="0"/>
      <w:marRight w:val="0"/>
      <w:marTop w:val="0"/>
      <w:marBottom w:val="0"/>
      <w:divBdr>
        <w:top w:val="none" w:sz="0" w:space="0" w:color="auto"/>
        <w:left w:val="none" w:sz="0" w:space="0" w:color="auto"/>
        <w:bottom w:val="none" w:sz="0" w:space="0" w:color="auto"/>
        <w:right w:val="none" w:sz="0" w:space="0" w:color="auto"/>
      </w:divBdr>
    </w:div>
    <w:div w:id="1774742321">
      <w:bodyDiv w:val="1"/>
      <w:marLeft w:val="0"/>
      <w:marRight w:val="0"/>
      <w:marTop w:val="0"/>
      <w:marBottom w:val="0"/>
      <w:divBdr>
        <w:top w:val="none" w:sz="0" w:space="0" w:color="auto"/>
        <w:left w:val="none" w:sz="0" w:space="0" w:color="auto"/>
        <w:bottom w:val="none" w:sz="0" w:space="0" w:color="auto"/>
        <w:right w:val="none" w:sz="0" w:space="0" w:color="auto"/>
      </w:divBdr>
    </w:div>
    <w:div w:id="1812670076">
      <w:bodyDiv w:val="1"/>
      <w:marLeft w:val="0"/>
      <w:marRight w:val="0"/>
      <w:marTop w:val="0"/>
      <w:marBottom w:val="0"/>
      <w:divBdr>
        <w:top w:val="none" w:sz="0" w:space="0" w:color="auto"/>
        <w:left w:val="none" w:sz="0" w:space="0" w:color="auto"/>
        <w:bottom w:val="none" w:sz="0" w:space="0" w:color="auto"/>
        <w:right w:val="none" w:sz="0" w:space="0" w:color="auto"/>
      </w:divBdr>
    </w:div>
    <w:div w:id="1817454234">
      <w:bodyDiv w:val="1"/>
      <w:marLeft w:val="0"/>
      <w:marRight w:val="0"/>
      <w:marTop w:val="0"/>
      <w:marBottom w:val="0"/>
      <w:divBdr>
        <w:top w:val="none" w:sz="0" w:space="0" w:color="auto"/>
        <w:left w:val="none" w:sz="0" w:space="0" w:color="auto"/>
        <w:bottom w:val="none" w:sz="0" w:space="0" w:color="auto"/>
        <w:right w:val="none" w:sz="0" w:space="0" w:color="auto"/>
      </w:divBdr>
      <w:divsChild>
        <w:div w:id="1361660710">
          <w:marLeft w:val="0"/>
          <w:marRight w:val="0"/>
          <w:marTop w:val="0"/>
          <w:marBottom w:val="0"/>
          <w:divBdr>
            <w:top w:val="none" w:sz="0" w:space="0" w:color="auto"/>
            <w:left w:val="none" w:sz="0" w:space="0" w:color="auto"/>
            <w:bottom w:val="none" w:sz="0" w:space="0" w:color="auto"/>
            <w:right w:val="none" w:sz="0" w:space="0" w:color="auto"/>
          </w:divBdr>
        </w:div>
        <w:div w:id="370038469">
          <w:marLeft w:val="0"/>
          <w:marRight w:val="0"/>
          <w:marTop w:val="375"/>
          <w:marBottom w:val="0"/>
          <w:divBdr>
            <w:top w:val="none" w:sz="0" w:space="0" w:color="auto"/>
            <w:left w:val="none" w:sz="0" w:space="0" w:color="auto"/>
            <w:bottom w:val="none" w:sz="0" w:space="0" w:color="auto"/>
            <w:right w:val="none" w:sz="0" w:space="0" w:color="auto"/>
          </w:divBdr>
          <w:divsChild>
            <w:div w:id="2122141438">
              <w:marLeft w:val="0"/>
              <w:marRight w:val="0"/>
              <w:marTop w:val="0"/>
              <w:marBottom w:val="0"/>
              <w:divBdr>
                <w:top w:val="none" w:sz="0" w:space="0" w:color="auto"/>
                <w:left w:val="none" w:sz="0" w:space="0" w:color="auto"/>
                <w:bottom w:val="none" w:sz="0" w:space="0" w:color="auto"/>
                <w:right w:val="none" w:sz="0" w:space="0" w:color="auto"/>
              </w:divBdr>
              <w:divsChild>
                <w:div w:id="471944704">
                  <w:marLeft w:val="0"/>
                  <w:marRight w:val="0"/>
                  <w:marTop w:val="0"/>
                  <w:marBottom w:val="0"/>
                  <w:divBdr>
                    <w:top w:val="none" w:sz="0" w:space="0" w:color="auto"/>
                    <w:left w:val="none" w:sz="0" w:space="0" w:color="auto"/>
                    <w:bottom w:val="none" w:sz="0" w:space="0" w:color="auto"/>
                    <w:right w:val="none" w:sz="0" w:space="0" w:color="auto"/>
                  </w:divBdr>
                  <w:divsChild>
                    <w:div w:id="452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49031">
      <w:bodyDiv w:val="1"/>
      <w:marLeft w:val="0"/>
      <w:marRight w:val="0"/>
      <w:marTop w:val="0"/>
      <w:marBottom w:val="0"/>
      <w:divBdr>
        <w:top w:val="none" w:sz="0" w:space="0" w:color="auto"/>
        <w:left w:val="none" w:sz="0" w:space="0" w:color="auto"/>
        <w:bottom w:val="none" w:sz="0" w:space="0" w:color="auto"/>
        <w:right w:val="none" w:sz="0" w:space="0" w:color="auto"/>
      </w:divBdr>
    </w:div>
    <w:div w:id="1870869213">
      <w:bodyDiv w:val="1"/>
      <w:marLeft w:val="0"/>
      <w:marRight w:val="0"/>
      <w:marTop w:val="0"/>
      <w:marBottom w:val="0"/>
      <w:divBdr>
        <w:top w:val="none" w:sz="0" w:space="0" w:color="auto"/>
        <w:left w:val="none" w:sz="0" w:space="0" w:color="auto"/>
        <w:bottom w:val="none" w:sz="0" w:space="0" w:color="auto"/>
        <w:right w:val="none" w:sz="0" w:space="0" w:color="auto"/>
      </w:divBdr>
    </w:div>
    <w:div w:id="1888644761">
      <w:bodyDiv w:val="1"/>
      <w:marLeft w:val="0"/>
      <w:marRight w:val="0"/>
      <w:marTop w:val="0"/>
      <w:marBottom w:val="0"/>
      <w:divBdr>
        <w:top w:val="none" w:sz="0" w:space="0" w:color="auto"/>
        <w:left w:val="none" w:sz="0" w:space="0" w:color="auto"/>
        <w:bottom w:val="none" w:sz="0" w:space="0" w:color="auto"/>
        <w:right w:val="none" w:sz="0" w:space="0" w:color="auto"/>
      </w:divBdr>
    </w:div>
    <w:div w:id="1892882957">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26663302">
      <w:bodyDiv w:val="1"/>
      <w:marLeft w:val="0"/>
      <w:marRight w:val="0"/>
      <w:marTop w:val="0"/>
      <w:marBottom w:val="0"/>
      <w:divBdr>
        <w:top w:val="none" w:sz="0" w:space="0" w:color="auto"/>
        <w:left w:val="none" w:sz="0" w:space="0" w:color="auto"/>
        <w:bottom w:val="none" w:sz="0" w:space="0" w:color="auto"/>
        <w:right w:val="none" w:sz="0" w:space="0" w:color="auto"/>
      </w:divBdr>
    </w:div>
    <w:div w:id="2079667035">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 w:id="21433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s.delaware.gov/Opinions/Download.aspx?id=3241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courts.delaware.gov/Opinions/Download.aspx?id=291200" TargetMode="External"/><Relationship Id="rId1" Type="http://schemas.openxmlformats.org/officeDocument/2006/relationships/hyperlink" Target="https://www.bls.gov/news.release/pdf/emps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CF43-FF1F-4187-AF68-BA1F2B46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23</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dc:creator>
  <cp:lastModifiedBy>Gary Derrick</cp:lastModifiedBy>
  <cp:revision>76</cp:revision>
  <cp:lastPrinted>2021-11-28T20:22:00Z</cp:lastPrinted>
  <dcterms:created xsi:type="dcterms:W3CDTF">2021-11-16T18:56:00Z</dcterms:created>
  <dcterms:modified xsi:type="dcterms:W3CDTF">2021-11-28T20:49:00Z</dcterms:modified>
</cp:coreProperties>
</file>