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18" w:rsidRPr="00363BC9" w:rsidRDefault="00331B18" w:rsidP="00331B18">
      <w:pPr>
        <w:spacing w:before="0"/>
        <w:jc w:val="center"/>
        <w:rPr>
          <w:rFonts w:eastAsia="Times New Roman"/>
          <w:szCs w:val="24"/>
        </w:rPr>
      </w:pPr>
    </w:p>
    <w:p w:rsidR="00331B18" w:rsidRPr="00363BC9" w:rsidRDefault="00331B18" w:rsidP="00331B18">
      <w:pPr>
        <w:keepNext/>
        <w:overflowPunct w:val="0"/>
        <w:spacing w:before="240" w:after="60"/>
        <w:jc w:val="center"/>
        <w:textAlignment w:val="baseline"/>
        <w:outlineLvl w:val="0"/>
        <w:rPr>
          <w:rFonts w:eastAsia="Times New Roman" w:cs="Arial"/>
          <w:b/>
          <w:caps/>
          <w:kern w:val="32"/>
          <w:szCs w:val="32"/>
        </w:rPr>
      </w:pPr>
      <w:r w:rsidRPr="00363BC9">
        <w:rPr>
          <w:rFonts w:eastAsia="Times New Roman" w:cs="Arial"/>
          <w:b/>
          <w:caps/>
          <w:kern w:val="32"/>
          <w:szCs w:val="32"/>
        </w:rPr>
        <w:t>recent DEVELOPMENTS in</w:t>
      </w:r>
    </w:p>
    <w:p w:rsidR="00331B18" w:rsidRPr="00363BC9" w:rsidRDefault="00331B18" w:rsidP="00331B18">
      <w:pPr>
        <w:keepNext/>
        <w:overflowPunct w:val="0"/>
        <w:spacing w:before="240" w:after="60"/>
        <w:jc w:val="center"/>
        <w:textAlignment w:val="baseline"/>
        <w:outlineLvl w:val="0"/>
        <w:rPr>
          <w:rFonts w:eastAsia="Times New Roman" w:cs="Arial"/>
          <w:b/>
          <w:caps/>
          <w:kern w:val="32"/>
          <w:szCs w:val="32"/>
        </w:rPr>
      </w:pPr>
      <w:r w:rsidRPr="00363BC9">
        <w:rPr>
          <w:rFonts w:eastAsia="Times New Roman" w:cs="Arial"/>
          <w:b/>
          <w:caps/>
          <w:kern w:val="32"/>
          <w:szCs w:val="32"/>
        </w:rPr>
        <w:t xml:space="preserve">OKLAHOMA business and corporate law </w:t>
      </w:r>
      <w:r w:rsidRPr="00363BC9">
        <w:rPr>
          <w:rFonts w:eastAsia="Times New Roman" w:cs="Arial"/>
          <w:b/>
          <w:caps/>
          <w:kern w:val="32"/>
          <w:szCs w:val="32"/>
        </w:rPr>
        <w:noBreakHyphen/>
        <w:t> </w:t>
      </w:r>
      <w:r w:rsidR="00D12593">
        <w:rPr>
          <w:rFonts w:eastAsia="Times New Roman" w:cs="Arial"/>
          <w:b/>
          <w:caps/>
          <w:kern w:val="32"/>
          <w:szCs w:val="32"/>
        </w:rPr>
        <w:t>2014</w:t>
      </w:r>
    </w:p>
    <w:p w:rsidR="00331B18" w:rsidRPr="00363BC9" w:rsidRDefault="00331B18" w:rsidP="00331B18">
      <w:pPr>
        <w:spacing w:before="0"/>
        <w:jc w:val="center"/>
        <w:rPr>
          <w:rFonts w:eastAsia="Times New Roman"/>
          <w:b/>
          <w:bCs/>
          <w:szCs w:val="24"/>
        </w:rPr>
      </w:pPr>
    </w:p>
    <w:p w:rsidR="00331B18" w:rsidRPr="00363BC9" w:rsidRDefault="00331B18" w:rsidP="00331B18">
      <w:pPr>
        <w:spacing w:before="0"/>
        <w:jc w:val="center"/>
        <w:rPr>
          <w:rFonts w:eastAsia="Times New Roman"/>
          <w:b/>
          <w:bCs/>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240" w:after="240"/>
        <w:jc w:val="center"/>
        <w:rPr>
          <w:rFonts w:eastAsia="Times New Roman"/>
          <w:szCs w:val="24"/>
        </w:rPr>
      </w:pPr>
    </w:p>
    <w:p w:rsidR="00331B18" w:rsidRPr="00363BC9" w:rsidRDefault="00331B18" w:rsidP="00331B18">
      <w:pPr>
        <w:spacing w:before="0"/>
        <w:jc w:val="center"/>
        <w:rPr>
          <w:rFonts w:eastAsia="Times New Roman"/>
          <w:szCs w:val="24"/>
        </w:rPr>
      </w:pPr>
      <w:r w:rsidRPr="00363BC9">
        <w:rPr>
          <w:rFonts w:eastAsia="Times New Roman"/>
          <w:szCs w:val="24"/>
        </w:rPr>
        <w:t>Gary W. Derrick</w:t>
      </w:r>
    </w:p>
    <w:p w:rsidR="00331B18" w:rsidRPr="00363BC9" w:rsidRDefault="00331B18" w:rsidP="00331B18">
      <w:pPr>
        <w:spacing w:before="0"/>
        <w:jc w:val="center"/>
        <w:rPr>
          <w:rFonts w:eastAsia="Times New Roman"/>
          <w:szCs w:val="24"/>
        </w:rPr>
      </w:pPr>
      <w:r w:rsidRPr="00363BC9">
        <w:rPr>
          <w:rFonts w:eastAsia="Times New Roman"/>
          <w:szCs w:val="24"/>
        </w:rPr>
        <w:t>Derrick &amp; Briggs, LLP</w:t>
      </w: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jc w:val="right"/>
        <w:rPr>
          <w:rFonts w:eastAsia="Times New Roman"/>
          <w:szCs w:val="24"/>
        </w:rPr>
      </w:pPr>
    </w:p>
    <w:p w:rsidR="00331B18" w:rsidRPr="00363BC9" w:rsidRDefault="00331B18" w:rsidP="00331B18">
      <w:pPr>
        <w:ind w:firstLine="720"/>
        <w:rPr>
          <w:rFonts w:eastAsia="Times New Roman"/>
          <w:szCs w:val="24"/>
        </w:rPr>
        <w:sectPr w:rsidR="00331B18" w:rsidRPr="00363BC9">
          <w:footerReference w:type="even" r:id="rId8"/>
          <w:footerReference w:type="default" r:id="rId9"/>
          <w:footerReference w:type="first" r:id="rId10"/>
          <w:pgSz w:w="12240" w:h="15840" w:code="1"/>
          <w:pgMar w:top="4320" w:right="1800" w:bottom="1440" w:left="1800" w:header="720" w:footer="720" w:gutter="0"/>
          <w:paperSrc w:first="11"/>
          <w:pgNumType w:start="2"/>
          <w:cols w:space="720"/>
          <w:titlePg/>
        </w:sectPr>
      </w:pPr>
    </w:p>
    <w:p w:rsidR="00331B18" w:rsidRPr="00363BC9" w:rsidRDefault="00331B18" w:rsidP="00331B18">
      <w:pPr>
        <w:keepNext/>
        <w:overflowPunct w:val="0"/>
        <w:spacing w:before="240" w:after="60"/>
        <w:jc w:val="center"/>
        <w:textAlignment w:val="baseline"/>
        <w:outlineLvl w:val="0"/>
        <w:rPr>
          <w:rFonts w:eastAsia="Times New Roman" w:cs="Arial"/>
          <w:b/>
          <w:caps/>
          <w:kern w:val="32"/>
          <w:szCs w:val="32"/>
        </w:rPr>
      </w:pPr>
      <w:r w:rsidRPr="00363BC9">
        <w:rPr>
          <w:rFonts w:eastAsia="Times New Roman" w:cs="Arial"/>
          <w:b/>
          <w:caps/>
          <w:kern w:val="32"/>
          <w:szCs w:val="32"/>
        </w:rPr>
        <w:lastRenderedPageBreak/>
        <w:t xml:space="preserve">recent DEVELOPMENTS in </w:t>
      </w:r>
      <w:r w:rsidRPr="00363BC9">
        <w:rPr>
          <w:rFonts w:eastAsia="Times New Roman" w:cs="Arial"/>
          <w:b/>
          <w:caps/>
          <w:kern w:val="32"/>
          <w:szCs w:val="32"/>
        </w:rPr>
        <w:br/>
        <w:t xml:space="preserve">OKLAHOMA business and corporate law </w:t>
      </w:r>
      <w:r w:rsidRPr="00363BC9">
        <w:rPr>
          <w:rFonts w:eastAsia="Times New Roman" w:cs="Arial"/>
          <w:b/>
          <w:caps/>
          <w:kern w:val="32"/>
          <w:szCs w:val="32"/>
        </w:rPr>
        <w:noBreakHyphen/>
        <w:t> </w:t>
      </w:r>
      <w:r w:rsidR="00D12593">
        <w:rPr>
          <w:rFonts w:eastAsia="Times New Roman" w:cs="Arial"/>
          <w:b/>
          <w:caps/>
          <w:kern w:val="32"/>
          <w:szCs w:val="32"/>
        </w:rPr>
        <w:t>2014</w:t>
      </w:r>
    </w:p>
    <w:p w:rsidR="00331B18" w:rsidRPr="00363BC9" w:rsidRDefault="00331B18" w:rsidP="00836869">
      <w:pPr>
        <w:keepNext/>
        <w:overflowPunct w:val="0"/>
        <w:spacing w:before="360" w:after="60"/>
        <w:textAlignment w:val="baseline"/>
        <w:outlineLvl w:val="1"/>
        <w:rPr>
          <w:rFonts w:eastAsia="Times New Roman"/>
          <w:b/>
        </w:rPr>
      </w:pPr>
      <w:r w:rsidRPr="00363BC9">
        <w:rPr>
          <w:rFonts w:eastAsia="Times New Roman"/>
          <w:b/>
        </w:rPr>
        <w:t>Introduction</w:t>
      </w:r>
      <w:r w:rsidR="00B63E36">
        <w:rPr>
          <w:rFonts w:eastAsia="Times New Roman"/>
          <w:b/>
        </w:rPr>
        <w:t xml:space="preserve"> </w:t>
      </w:r>
    </w:p>
    <w:p w:rsidR="00D81C32" w:rsidRDefault="00D81C32" w:rsidP="00C04ED3">
      <w:pPr>
        <w:overflowPunct w:val="0"/>
        <w:spacing w:line="360" w:lineRule="auto"/>
        <w:ind w:firstLine="720"/>
        <w:textAlignment w:val="baseline"/>
        <w:rPr>
          <w:rFonts w:eastAsia="Times New Roman"/>
        </w:rPr>
      </w:pPr>
      <w:r w:rsidRPr="00363BC9">
        <w:rPr>
          <w:rFonts w:eastAsia="Times New Roman"/>
        </w:rPr>
        <w:t xml:space="preserve">The economic recession and the Federal regulatory response have </w:t>
      </w:r>
      <w:r>
        <w:rPr>
          <w:rFonts w:eastAsia="Times New Roman"/>
        </w:rPr>
        <w:t>dominated this topic since 2007</w:t>
      </w:r>
      <w:r w:rsidRPr="00363BC9">
        <w:rPr>
          <w:rFonts w:eastAsia="Times New Roman"/>
        </w:rPr>
        <w:t xml:space="preserve">.  </w:t>
      </w:r>
      <w:r>
        <w:rPr>
          <w:rFonts w:eastAsia="Times New Roman"/>
        </w:rPr>
        <w:t>W</w:t>
      </w:r>
      <w:r w:rsidRPr="00363BC9">
        <w:rPr>
          <w:rFonts w:eastAsia="Times New Roman"/>
        </w:rPr>
        <w:t xml:space="preserve">e have talked about the mortgage crisis, the derivatives markets, the collapse of global financial institutions, an unsettling, world-wide economic downturn, Federal bailouts and sweeping regulatory changes.  </w:t>
      </w:r>
      <w:r>
        <w:rPr>
          <w:rFonts w:eastAsia="Times New Roman"/>
        </w:rPr>
        <w:t xml:space="preserve">And the dominance is </w:t>
      </w:r>
      <w:r w:rsidR="00C40729">
        <w:rPr>
          <w:rFonts w:eastAsia="Times New Roman"/>
        </w:rPr>
        <w:t>deserved</w:t>
      </w:r>
      <w:r>
        <w:rPr>
          <w:rFonts w:eastAsia="Times New Roman"/>
        </w:rPr>
        <w:t xml:space="preserve">.  The pace of change in </w:t>
      </w:r>
      <w:r w:rsidRPr="00363BC9">
        <w:rPr>
          <w:rFonts w:eastAsia="Times New Roman"/>
        </w:rPr>
        <w:t xml:space="preserve">this area of law </w:t>
      </w:r>
      <w:r>
        <w:rPr>
          <w:rFonts w:eastAsia="Times New Roman"/>
        </w:rPr>
        <w:t>race</w:t>
      </w:r>
      <w:r w:rsidR="00C40729">
        <w:rPr>
          <w:rFonts w:eastAsia="Times New Roman"/>
        </w:rPr>
        <w:t>s</w:t>
      </w:r>
      <w:r>
        <w:rPr>
          <w:rFonts w:eastAsia="Times New Roman"/>
        </w:rPr>
        <w:t xml:space="preserve"> to catch</w:t>
      </w:r>
      <w:r w:rsidRPr="00363BC9">
        <w:rPr>
          <w:rFonts w:eastAsia="Times New Roman"/>
        </w:rPr>
        <w:t xml:space="preserve"> </w:t>
      </w:r>
      <w:r>
        <w:rPr>
          <w:rFonts w:eastAsia="Times New Roman"/>
        </w:rPr>
        <w:t>m</w:t>
      </w:r>
      <w:r w:rsidRPr="00363BC9">
        <w:rPr>
          <w:rFonts w:eastAsia="Times New Roman"/>
        </w:rPr>
        <w:t xml:space="preserve">arkets and industries </w:t>
      </w:r>
      <w:r>
        <w:rPr>
          <w:rFonts w:eastAsia="Times New Roman"/>
        </w:rPr>
        <w:t xml:space="preserve">that come and go and morph </w:t>
      </w:r>
      <w:r w:rsidRPr="00363BC9">
        <w:rPr>
          <w:rFonts w:eastAsia="Times New Roman"/>
        </w:rPr>
        <w:t>in unexpected ways.</w:t>
      </w:r>
      <w:r w:rsidRPr="00363BC9">
        <w:rPr>
          <w:rStyle w:val="FootnoteReference"/>
          <w:rFonts w:eastAsia="Times New Roman"/>
        </w:rPr>
        <w:footnoteReference w:id="1"/>
      </w:r>
      <w:r w:rsidRPr="00363BC9">
        <w:rPr>
          <w:rFonts w:eastAsia="Times New Roman"/>
        </w:rPr>
        <w:t xml:space="preserve">  The combination of technological advances, increased information flows, greater productivity, and globalized expansion have produced a rate of global economic change not witnessed since the Industrial Revolution.</w:t>
      </w:r>
      <w:r w:rsidRPr="00363BC9">
        <w:rPr>
          <w:rStyle w:val="FootnoteReference"/>
          <w:rFonts w:eastAsia="Times New Roman"/>
        </w:rPr>
        <w:footnoteReference w:id="2"/>
      </w:r>
      <w:r w:rsidRPr="00363BC9">
        <w:rPr>
          <w:rFonts w:eastAsia="Times New Roman"/>
        </w:rPr>
        <w:t xml:space="preserve">  One could argue that the rapid pace of change within the financial markets – and the inability of investors and regulators to fully understand the changes – was a principal cause of the financial collapse and resulting recession.</w:t>
      </w:r>
      <w:r w:rsidRPr="00363BC9">
        <w:rPr>
          <w:rStyle w:val="FootnoteReference"/>
          <w:rFonts w:eastAsia="Times New Roman"/>
        </w:rPr>
        <w:footnoteReference w:id="3"/>
      </w:r>
      <w:r w:rsidRPr="00363BC9">
        <w:rPr>
          <w:rFonts w:eastAsia="Times New Roman"/>
        </w:rPr>
        <w:t xml:space="preserve"> </w:t>
      </w:r>
    </w:p>
    <w:p w:rsidR="00CE2FE0" w:rsidRDefault="00CE2FE0" w:rsidP="00C04ED3">
      <w:pPr>
        <w:overflowPunct w:val="0"/>
        <w:spacing w:line="360" w:lineRule="auto"/>
        <w:ind w:firstLine="720"/>
        <w:textAlignment w:val="baseline"/>
        <w:rPr>
          <w:rFonts w:eastAsia="Times New Roman"/>
        </w:rPr>
      </w:pPr>
      <w:r>
        <w:rPr>
          <w:rFonts w:eastAsia="Times New Roman"/>
        </w:rPr>
        <w:t xml:space="preserve">In some ways, the law still struggles to keep up.  Significant parts of the massive Dodd-Frank Act – passed in 2010 in the wake of the financial collapse – </w:t>
      </w:r>
      <w:r w:rsidR="005E6CDB">
        <w:rPr>
          <w:rFonts w:eastAsia="Times New Roman"/>
        </w:rPr>
        <w:t xml:space="preserve">were </w:t>
      </w:r>
      <w:r w:rsidR="005E6CDB">
        <w:rPr>
          <w:rFonts w:eastAsia="Times New Roman"/>
        </w:rPr>
        <w:lastRenderedPageBreak/>
        <w:t xml:space="preserve">implemented only recently or </w:t>
      </w:r>
      <w:r>
        <w:rPr>
          <w:rFonts w:eastAsia="Times New Roman"/>
        </w:rPr>
        <w:t>have yet to be implemented.</w:t>
      </w:r>
      <w:r w:rsidR="0076587D">
        <w:rPr>
          <w:rStyle w:val="FootnoteReference"/>
          <w:rFonts w:eastAsia="Times New Roman"/>
        </w:rPr>
        <w:footnoteReference w:id="4"/>
      </w:r>
      <w:r>
        <w:rPr>
          <w:rFonts w:eastAsia="Times New Roman"/>
        </w:rPr>
        <w:t xml:space="preserve">  </w:t>
      </w:r>
      <w:r w:rsidR="004771CF">
        <w:rPr>
          <w:rFonts w:eastAsia="Times New Roman"/>
        </w:rPr>
        <w:t xml:space="preserve">The JOBS Act passed in 2012 and </w:t>
      </w:r>
      <w:r w:rsidR="001734EC">
        <w:rPr>
          <w:rFonts w:eastAsia="Times New Roman"/>
        </w:rPr>
        <w:t xml:space="preserve">was </w:t>
      </w:r>
      <w:r w:rsidR="004771CF">
        <w:rPr>
          <w:rFonts w:eastAsia="Times New Roman"/>
        </w:rPr>
        <w:t>designed to improve capital access for private companies</w:t>
      </w:r>
      <w:r w:rsidR="001734EC">
        <w:rPr>
          <w:rFonts w:eastAsia="Times New Roman"/>
        </w:rPr>
        <w:t xml:space="preserve">.  While the number of initial public offerings has finally rebounded in the U.S., and many companies are using the expedited procedures provided under the JOBS Act, other aspects of the JOBS Act </w:t>
      </w:r>
      <w:r w:rsidR="00F351AB">
        <w:rPr>
          <w:rFonts w:eastAsia="Times New Roman"/>
        </w:rPr>
        <w:t>– notably the crowdfunding rules – </w:t>
      </w:r>
      <w:r w:rsidR="00C40729">
        <w:rPr>
          <w:rFonts w:eastAsia="Times New Roman"/>
        </w:rPr>
        <w:t xml:space="preserve">are proposed, but not </w:t>
      </w:r>
      <w:r w:rsidR="00F351AB">
        <w:rPr>
          <w:rFonts w:eastAsia="Times New Roman"/>
        </w:rPr>
        <w:t>yet adopted.</w:t>
      </w:r>
      <w:r w:rsidR="00F351AB">
        <w:rPr>
          <w:rStyle w:val="FootnoteReference"/>
          <w:rFonts w:eastAsia="Times New Roman"/>
        </w:rPr>
        <w:footnoteReference w:id="5"/>
      </w:r>
      <w:r w:rsidR="00F351AB">
        <w:rPr>
          <w:rFonts w:eastAsia="Times New Roman"/>
        </w:rPr>
        <w:t xml:space="preserve">  </w:t>
      </w:r>
      <w:r w:rsidR="007C24C7">
        <w:rPr>
          <w:rFonts w:eastAsia="Times New Roman"/>
        </w:rPr>
        <w:t xml:space="preserve">The delays in implementation are often due to the complexity of the matters to be regulated. </w:t>
      </w:r>
    </w:p>
    <w:p w:rsidR="00F351AB" w:rsidRDefault="00C40729" w:rsidP="00C04ED3">
      <w:pPr>
        <w:overflowPunct w:val="0"/>
        <w:spacing w:line="360" w:lineRule="auto"/>
        <w:ind w:firstLine="720"/>
        <w:textAlignment w:val="baseline"/>
        <w:rPr>
          <w:rFonts w:eastAsia="Times New Roman"/>
        </w:rPr>
      </w:pPr>
      <w:r>
        <w:rPr>
          <w:rFonts w:eastAsia="Times New Roman"/>
        </w:rPr>
        <w:t>O</w:t>
      </w:r>
      <w:r w:rsidR="00F351AB">
        <w:rPr>
          <w:rFonts w:eastAsia="Times New Roman"/>
        </w:rPr>
        <w:t xml:space="preserve">ther developments reflect </w:t>
      </w:r>
      <w:r w:rsidR="001D1AE4">
        <w:rPr>
          <w:rFonts w:eastAsia="Times New Roman"/>
        </w:rPr>
        <w:t xml:space="preserve">these complexities and </w:t>
      </w:r>
      <w:r w:rsidR="00F351AB">
        <w:rPr>
          <w:rFonts w:eastAsia="Times New Roman"/>
        </w:rPr>
        <w:t xml:space="preserve">our struggle </w:t>
      </w:r>
      <w:r w:rsidR="000F20CC">
        <w:rPr>
          <w:rFonts w:eastAsia="Times New Roman"/>
        </w:rPr>
        <w:t xml:space="preserve">to </w:t>
      </w:r>
      <w:r w:rsidR="00981E1B">
        <w:rPr>
          <w:rFonts w:eastAsia="Times New Roman"/>
        </w:rPr>
        <w:t xml:space="preserve">find a proper relationship with </w:t>
      </w:r>
      <w:r w:rsidR="00F351AB">
        <w:rPr>
          <w:rFonts w:eastAsia="Times New Roman"/>
        </w:rPr>
        <w:t>business entities.  This is evident in the trend</w:t>
      </w:r>
      <w:r w:rsidR="009F231A">
        <w:rPr>
          <w:rFonts w:eastAsia="Times New Roman"/>
        </w:rPr>
        <w:t>s</w:t>
      </w:r>
      <w:r w:rsidR="00F351AB">
        <w:rPr>
          <w:rFonts w:eastAsia="Times New Roman"/>
        </w:rPr>
        <w:t xml:space="preserve"> </w:t>
      </w:r>
      <w:r w:rsidR="009F231A">
        <w:rPr>
          <w:rFonts w:eastAsia="Times New Roman"/>
        </w:rPr>
        <w:t xml:space="preserve">in </w:t>
      </w:r>
      <w:r w:rsidR="00F351AB">
        <w:rPr>
          <w:rFonts w:eastAsia="Times New Roman"/>
        </w:rPr>
        <w:t>criminal prosecution of business entities.</w:t>
      </w:r>
      <w:r w:rsidR="00F7760F">
        <w:rPr>
          <w:rStyle w:val="FootnoteReference"/>
          <w:rFonts w:eastAsia="Times New Roman"/>
        </w:rPr>
        <w:footnoteReference w:id="6"/>
      </w:r>
      <w:r w:rsidR="00F351AB">
        <w:rPr>
          <w:rFonts w:eastAsia="Times New Roman"/>
        </w:rPr>
        <w:t xml:space="preserve">  </w:t>
      </w:r>
      <w:r w:rsidR="007C24C7">
        <w:rPr>
          <w:rFonts w:eastAsia="Times New Roman"/>
        </w:rPr>
        <w:t xml:space="preserve">Historically, if a corporation were accused of wrongdoing, the responsible </w:t>
      </w:r>
      <w:r w:rsidR="004D6E64">
        <w:rPr>
          <w:rFonts w:eastAsia="Times New Roman"/>
        </w:rPr>
        <w:t>individuals</w:t>
      </w:r>
      <w:r w:rsidR="007C24C7">
        <w:rPr>
          <w:rFonts w:eastAsia="Times New Roman"/>
        </w:rPr>
        <w:t xml:space="preserve"> might be prosecuted.  The corporation itself would be sued civilly.  </w:t>
      </w:r>
      <w:r w:rsidR="00A21BB9">
        <w:rPr>
          <w:rFonts w:eastAsia="Times New Roman"/>
        </w:rPr>
        <w:t xml:space="preserve">That is changing.  The criminal prosecutions </w:t>
      </w:r>
      <w:r w:rsidR="004D6E64">
        <w:rPr>
          <w:rFonts w:eastAsia="Times New Roman"/>
        </w:rPr>
        <w:t xml:space="preserve">of corporations </w:t>
      </w:r>
      <w:r w:rsidR="00A21BB9">
        <w:rPr>
          <w:rFonts w:eastAsia="Times New Roman"/>
        </w:rPr>
        <w:t xml:space="preserve">and the amount of recoveries are both increasing dramatically.  </w:t>
      </w:r>
      <w:r w:rsidR="004D6E64">
        <w:rPr>
          <w:rFonts w:eastAsia="Times New Roman"/>
        </w:rPr>
        <w:t xml:space="preserve">This </w:t>
      </w:r>
      <w:r w:rsidR="00A21BB9">
        <w:rPr>
          <w:rFonts w:eastAsia="Times New Roman"/>
        </w:rPr>
        <w:t>year</w:t>
      </w:r>
      <w:r w:rsidR="004D6E64">
        <w:rPr>
          <w:rFonts w:eastAsia="Times New Roman"/>
        </w:rPr>
        <w:t xml:space="preserve"> will break all records.  </w:t>
      </w:r>
      <w:r w:rsidR="00A21BB9">
        <w:rPr>
          <w:rFonts w:eastAsia="Times New Roman"/>
        </w:rPr>
        <w:t>A</w:t>
      </w:r>
      <w:r w:rsidR="00F7750E">
        <w:rPr>
          <w:rFonts w:eastAsia="Times New Roman"/>
        </w:rPr>
        <w:t xml:space="preserve">merican financial institutions have </w:t>
      </w:r>
      <w:r w:rsidR="004D6E64">
        <w:rPr>
          <w:rFonts w:eastAsia="Times New Roman"/>
        </w:rPr>
        <w:t xml:space="preserve">already </w:t>
      </w:r>
      <w:r w:rsidR="00F7750E">
        <w:rPr>
          <w:rFonts w:eastAsia="Times New Roman"/>
        </w:rPr>
        <w:t xml:space="preserve">paid </w:t>
      </w:r>
      <w:r w:rsidR="00C449D7">
        <w:rPr>
          <w:rFonts w:eastAsia="Times New Roman"/>
        </w:rPr>
        <w:t xml:space="preserve">over </w:t>
      </w:r>
      <w:r w:rsidR="00F7750E">
        <w:rPr>
          <w:rFonts w:eastAsia="Times New Roman"/>
        </w:rPr>
        <w:t xml:space="preserve">$50 billion </w:t>
      </w:r>
      <w:r w:rsidR="0034120B">
        <w:rPr>
          <w:rFonts w:eastAsia="Times New Roman"/>
        </w:rPr>
        <w:t xml:space="preserve">year-to-date </w:t>
      </w:r>
      <w:r w:rsidR="00563EBD">
        <w:rPr>
          <w:rFonts w:eastAsia="Times New Roman"/>
        </w:rPr>
        <w:t xml:space="preserve">to </w:t>
      </w:r>
      <w:r w:rsidR="00F7750E">
        <w:rPr>
          <w:rFonts w:eastAsia="Times New Roman"/>
        </w:rPr>
        <w:t>settle criminal charges related to mortgage-backed bonds</w:t>
      </w:r>
      <w:r w:rsidR="00C449D7">
        <w:rPr>
          <w:rFonts w:eastAsia="Times New Roman"/>
        </w:rPr>
        <w:t xml:space="preserve"> and other financial misconduct</w:t>
      </w:r>
      <w:r w:rsidR="00F7750E">
        <w:rPr>
          <w:rFonts w:eastAsia="Times New Roman"/>
        </w:rPr>
        <w:t>.  Foreign financial institutions have paid billions more in settlement of criminal charges.</w:t>
      </w:r>
      <w:r w:rsidR="005A1232">
        <w:rPr>
          <w:rStyle w:val="FootnoteReference"/>
          <w:rFonts w:eastAsia="Times New Roman"/>
        </w:rPr>
        <w:footnoteReference w:id="7"/>
      </w:r>
      <w:r w:rsidR="00F7750E">
        <w:rPr>
          <w:rFonts w:eastAsia="Times New Roman"/>
        </w:rPr>
        <w:t xml:space="preserve">  The </w:t>
      </w:r>
      <w:r w:rsidR="00F7750E">
        <w:rPr>
          <w:rFonts w:eastAsia="Times New Roman"/>
        </w:rPr>
        <w:lastRenderedPageBreak/>
        <w:t>criminal charges extend beyond financial institutions.  BP paid $13 billion to settle criminal charges for the Deepwater Horizon oil spill.  Toyota</w:t>
      </w:r>
      <w:r w:rsidR="00AF40EE">
        <w:rPr>
          <w:rFonts w:eastAsia="Times New Roman"/>
        </w:rPr>
        <w:t>, the world’s largest automaker,</w:t>
      </w:r>
      <w:r w:rsidR="00F7750E">
        <w:rPr>
          <w:rFonts w:eastAsia="Times New Roman"/>
        </w:rPr>
        <w:t xml:space="preserve"> paid $1.2 billion to settle criminal charges relating to its cars.</w:t>
      </w:r>
      <w:r w:rsidR="00C95E02">
        <w:rPr>
          <w:rStyle w:val="FootnoteReference"/>
          <w:rFonts w:eastAsia="Times New Roman"/>
        </w:rPr>
        <w:footnoteReference w:id="8"/>
      </w:r>
      <w:r w:rsidR="00F7750E">
        <w:rPr>
          <w:rFonts w:eastAsia="Times New Roman"/>
        </w:rPr>
        <w:t xml:space="preserve"> </w:t>
      </w:r>
      <w:r w:rsidR="004D6E64">
        <w:rPr>
          <w:rFonts w:eastAsia="Times New Roman"/>
        </w:rPr>
        <w:t>Wal-Mart,</w:t>
      </w:r>
      <w:r w:rsidR="00563EBD">
        <w:rPr>
          <w:rFonts w:eastAsia="Times New Roman"/>
        </w:rPr>
        <w:t xml:space="preserve"> </w:t>
      </w:r>
      <w:r w:rsidR="00AF40EE">
        <w:rPr>
          <w:rFonts w:eastAsia="Times New Roman"/>
        </w:rPr>
        <w:t xml:space="preserve">the world’s largest retailer, </w:t>
      </w:r>
      <w:r w:rsidR="004D6E64">
        <w:rPr>
          <w:rFonts w:eastAsia="Times New Roman"/>
        </w:rPr>
        <w:t>and General Motors</w:t>
      </w:r>
      <w:r w:rsidR="00AF40EE">
        <w:rPr>
          <w:rFonts w:eastAsia="Times New Roman"/>
        </w:rPr>
        <w:t>, the largest U.S. automaker,</w:t>
      </w:r>
      <w:r w:rsidR="004D6E64">
        <w:rPr>
          <w:rFonts w:eastAsia="Times New Roman"/>
        </w:rPr>
        <w:t xml:space="preserve"> are reportedly discussi</w:t>
      </w:r>
      <w:r w:rsidR="00692217">
        <w:rPr>
          <w:rFonts w:eastAsia="Times New Roman"/>
        </w:rPr>
        <w:t>ng</w:t>
      </w:r>
      <w:r w:rsidR="004D6E64">
        <w:rPr>
          <w:rFonts w:eastAsia="Times New Roman"/>
        </w:rPr>
        <w:t xml:space="preserve"> the settlement of criminal charges.</w:t>
      </w:r>
      <w:r w:rsidR="002B1022">
        <w:rPr>
          <w:rStyle w:val="FootnoteReference"/>
          <w:rFonts w:eastAsia="Times New Roman"/>
        </w:rPr>
        <w:footnoteReference w:id="9"/>
      </w:r>
      <w:r w:rsidR="00563EBD">
        <w:rPr>
          <w:rFonts w:eastAsia="Times New Roman"/>
        </w:rPr>
        <w:t xml:space="preserve">  </w:t>
      </w:r>
    </w:p>
    <w:p w:rsidR="00406C0F" w:rsidRDefault="00CF4747" w:rsidP="00C04ED3">
      <w:pPr>
        <w:overflowPunct w:val="0"/>
        <w:spacing w:line="360" w:lineRule="auto"/>
        <w:ind w:firstLine="720"/>
        <w:textAlignment w:val="baseline"/>
        <w:rPr>
          <w:rFonts w:eastAsia="Times New Roman"/>
        </w:rPr>
      </w:pPr>
      <w:r>
        <w:rPr>
          <w:rFonts w:eastAsia="Times New Roman"/>
        </w:rPr>
        <w:t>This is not to say that some misconduct does not warrant criminal charges.  But criminal charges can be brought under a myriad of regulations by Federal or state regulators.</w:t>
      </w:r>
      <w:r w:rsidR="007E5D3D">
        <w:rPr>
          <w:rStyle w:val="FootnoteReference"/>
          <w:rFonts w:eastAsia="Times New Roman"/>
        </w:rPr>
        <w:footnoteReference w:id="10"/>
      </w:r>
      <w:r>
        <w:rPr>
          <w:rFonts w:eastAsia="Times New Roman"/>
        </w:rPr>
        <w:t xml:space="preserve">  </w:t>
      </w:r>
      <w:r w:rsidR="004C0529">
        <w:rPr>
          <w:rFonts w:eastAsia="Times New Roman"/>
        </w:rPr>
        <w:t xml:space="preserve">Settlement </w:t>
      </w:r>
      <w:r w:rsidR="00A01AF6">
        <w:rPr>
          <w:rFonts w:eastAsia="Times New Roman"/>
        </w:rPr>
        <w:t xml:space="preserve">proceeds </w:t>
      </w:r>
      <w:r w:rsidR="004C0529">
        <w:rPr>
          <w:rFonts w:eastAsia="Times New Roman"/>
        </w:rPr>
        <w:t xml:space="preserve">may </w:t>
      </w:r>
      <w:r>
        <w:rPr>
          <w:rFonts w:eastAsia="Times New Roman"/>
        </w:rPr>
        <w:t xml:space="preserve">go to the prosecuting </w:t>
      </w:r>
      <w:r w:rsidR="004C0529">
        <w:rPr>
          <w:rFonts w:eastAsia="Times New Roman"/>
        </w:rPr>
        <w:t xml:space="preserve">agency </w:t>
      </w:r>
      <w:r w:rsidR="006A6C89">
        <w:rPr>
          <w:rFonts w:eastAsia="Times New Roman"/>
        </w:rPr>
        <w:t>and often never reach the victims of the misconduct</w:t>
      </w:r>
      <w:r>
        <w:rPr>
          <w:rFonts w:eastAsia="Times New Roman"/>
        </w:rPr>
        <w:t>.</w:t>
      </w:r>
      <w:r w:rsidR="007E08AD">
        <w:rPr>
          <w:rStyle w:val="FootnoteReference"/>
          <w:rFonts w:eastAsia="Times New Roman"/>
        </w:rPr>
        <w:footnoteReference w:id="11"/>
      </w:r>
      <w:r>
        <w:rPr>
          <w:rFonts w:eastAsia="Times New Roman"/>
        </w:rPr>
        <w:t xml:space="preserve">  </w:t>
      </w:r>
      <w:r w:rsidR="00A01AF6">
        <w:rPr>
          <w:rFonts w:eastAsia="Times New Roman"/>
        </w:rPr>
        <w:t>The prosecuting agency’s retention of settlement proceeds cre</w:t>
      </w:r>
      <w:r w:rsidR="00F4318D">
        <w:rPr>
          <w:rFonts w:eastAsia="Times New Roman"/>
        </w:rPr>
        <w:t xml:space="preserve">ate powerful </w:t>
      </w:r>
      <w:r w:rsidR="006A6C89">
        <w:rPr>
          <w:rFonts w:eastAsia="Times New Roman"/>
        </w:rPr>
        <w:t>financial incentives for aggressive prosecution</w:t>
      </w:r>
      <w:r w:rsidR="00F4318D">
        <w:rPr>
          <w:rFonts w:eastAsia="Times New Roman"/>
        </w:rPr>
        <w:t xml:space="preserve"> and can lead to </w:t>
      </w:r>
      <w:r w:rsidR="00F7760F">
        <w:rPr>
          <w:rFonts w:eastAsia="Times New Roman"/>
        </w:rPr>
        <w:t>over-enforcement</w:t>
      </w:r>
      <w:r w:rsidR="006A6C89">
        <w:rPr>
          <w:rFonts w:eastAsia="Times New Roman"/>
        </w:rPr>
        <w:t>.</w:t>
      </w:r>
      <w:r w:rsidR="006A6C89">
        <w:rPr>
          <w:rStyle w:val="FootnoteReference"/>
          <w:rFonts w:eastAsia="Times New Roman"/>
        </w:rPr>
        <w:footnoteReference w:id="12"/>
      </w:r>
      <w:r w:rsidR="006A6C89">
        <w:rPr>
          <w:rFonts w:eastAsia="Times New Roman"/>
        </w:rPr>
        <w:t xml:space="preserve">  </w:t>
      </w:r>
      <w:r w:rsidR="00F4318D">
        <w:rPr>
          <w:rFonts w:eastAsia="Times New Roman"/>
        </w:rPr>
        <w:t>A</w:t>
      </w:r>
      <w:r w:rsidR="006A6C89">
        <w:rPr>
          <w:rFonts w:eastAsia="Times New Roman"/>
        </w:rPr>
        <w:t xml:space="preserve"> </w:t>
      </w:r>
      <w:r w:rsidR="007037DC">
        <w:rPr>
          <w:rFonts w:eastAsia="Times New Roman"/>
        </w:rPr>
        <w:t xml:space="preserve">corporation may be prosecuted in one jurisdiction, but not others, </w:t>
      </w:r>
      <w:r w:rsidR="007037DC">
        <w:rPr>
          <w:rFonts w:eastAsia="Times New Roman"/>
        </w:rPr>
        <w:lastRenderedPageBreak/>
        <w:t>resulting in distributions of proceeds</w:t>
      </w:r>
      <w:r w:rsidR="00CB7388">
        <w:rPr>
          <w:rFonts w:eastAsia="Times New Roman"/>
        </w:rPr>
        <w:t xml:space="preserve"> unrelated to the harm done</w:t>
      </w:r>
      <w:r w:rsidR="007037DC">
        <w:rPr>
          <w:rFonts w:eastAsia="Times New Roman"/>
        </w:rPr>
        <w:t>.</w:t>
      </w:r>
      <w:r w:rsidR="00D75B9A">
        <w:rPr>
          <w:rStyle w:val="FootnoteReference"/>
          <w:rFonts w:eastAsia="Times New Roman"/>
        </w:rPr>
        <w:footnoteReference w:id="13"/>
      </w:r>
      <w:r w:rsidR="007037DC">
        <w:rPr>
          <w:rFonts w:eastAsia="Times New Roman"/>
        </w:rPr>
        <w:t xml:space="preserve">  </w:t>
      </w:r>
      <w:r>
        <w:rPr>
          <w:rFonts w:eastAsia="Times New Roman"/>
        </w:rPr>
        <w:t>The settlements are typically confidential, which means a lack of transparency in the process.  The public does not necessarily know the underlying facts or the prosecutor’s justification for the settlement amount.  Without a full understanding of the misconduct</w:t>
      </w:r>
      <w:r w:rsidR="00CC01D4">
        <w:rPr>
          <w:rFonts w:eastAsia="Times New Roman"/>
        </w:rPr>
        <w:t xml:space="preserve"> and a measure of the settlement</w:t>
      </w:r>
      <w:r>
        <w:rPr>
          <w:rFonts w:eastAsia="Times New Roman"/>
        </w:rPr>
        <w:t xml:space="preserve">, there are no guideposts by which other businesses might improve </w:t>
      </w:r>
      <w:r w:rsidR="007037DC">
        <w:rPr>
          <w:rFonts w:eastAsia="Times New Roman"/>
        </w:rPr>
        <w:t>their compliance</w:t>
      </w:r>
      <w:r>
        <w:rPr>
          <w:rFonts w:eastAsia="Times New Roman"/>
        </w:rPr>
        <w:t xml:space="preserve"> practices</w:t>
      </w:r>
      <w:r w:rsidR="002D073A">
        <w:rPr>
          <w:rFonts w:eastAsia="Times New Roman"/>
        </w:rPr>
        <w:t xml:space="preserve">, which </w:t>
      </w:r>
      <w:proofErr w:type="gramStart"/>
      <w:r w:rsidR="002D073A">
        <w:rPr>
          <w:rFonts w:eastAsia="Times New Roman"/>
        </w:rPr>
        <w:t>weakens</w:t>
      </w:r>
      <w:proofErr w:type="gramEnd"/>
      <w:r w:rsidR="002D073A">
        <w:rPr>
          <w:rFonts w:eastAsia="Times New Roman"/>
        </w:rPr>
        <w:t xml:space="preserve"> </w:t>
      </w:r>
      <w:r>
        <w:rPr>
          <w:rFonts w:eastAsia="Times New Roman"/>
        </w:rPr>
        <w:t xml:space="preserve">the deterrent effect of the </w:t>
      </w:r>
      <w:r w:rsidR="007037DC">
        <w:rPr>
          <w:rFonts w:eastAsia="Times New Roman"/>
        </w:rPr>
        <w:t xml:space="preserve">criminal </w:t>
      </w:r>
      <w:r>
        <w:rPr>
          <w:rFonts w:eastAsia="Times New Roman"/>
        </w:rPr>
        <w:t>charges.</w:t>
      </w:r>
      <w:r w:rsidR="00D24FE3">
        <w:rPr>
          <w:rStyle w:val="FootnoteReference"/>
          <w:rFonts w:eastAsia="Times New Roman"/>
        </w:rPr>
        <w:footnoteReference w:id="14"/>
      </w:r>
      <w:r>
        <w:rPr>
          <w:rFonts w:eastAsia="Times New Roman"/>
        </w:rPr>
        <w:t xml:space="preserve"> </w:t>
      </w:r>
    </w:p>
    <w:p w:rsidR="00F7750E" w:rsidRDefault="007037DC" w:rsidP="00C04ED3">
      <w:pPr>
        <w:overflowPunct w:val="0"/>
        <w:spacing w:line="360" w:lineRule="auto"/>
        <w:ind w:firstLine="720"/>
        <w:textAlignment w:val="baseline"/>
        <w:rPr>
          <w:rFonts w:eastAsia="Times New Roman"/>
        </w:rPr>
      </w:pPr>
      <w:r>
        <w:rPr>
          <w:rFonts w:eastAsia="Times New Roman"/>
        </w:rPr>
        <w:t xml:space="preserve">The </w:t>
      </w:r>
      <w:r w:rsidR="00406C0F">
        <w:rPr>
          <w:rFonts w:eastAsia="Times New Roman"/>
        </w:rPr>
        <w:t xml:space="preserve">growth in </w:t>
      </w:r>
      <w:r>
        <w:rPr>
          <w:rFonts w:eastAsia="Times New Roman"/>
        </w:rPr>
        <w:t>criminal prosecution</w:t>
      </w:r>
      <w:r w:rsidR="00406C0F">
        <w:rPr>
          <w:rFonts w:eastAsia="Times New Roman"/>
        </w:rPr>
        <w:t>s</w:t>
      </w:r>
      <w:r>
        <w:rPr>
          <w:rFonts w:eastAsia="Times New Roman"/>
        </w:rPr>
        <w:t xml:space="preserve"> </w:t>
      </w:r>
      <w:r w:rsidR="00406C0F">
        <w:rPr>
          <w:rFonts w:eastAsia="Times New Roman"/>
        </w:rPr>
        <w:t xml:space="preserve">of businesses has resulted in </w:t>
      </w:r>
      <w:r w:rsidR="00D24FE3">
        <w:rPr>
          <w:rFonts w:eastAsia="Times New Roman"/>
        </w:rPr>
        <w:t xml:space="preserve">an environment </w:t>
      </w:r>
      <w:r w:rsidR="00406C0F">
        <w:rPr>
          <w:rFonts w:eastAsia="Times New Roman"/>
        </w:rPr>
        <w:t xml:space="preserve">that often seems </w:t>
      </w:r>
      <w:r w:rsidR="004C0529">
        <w:rPr>
          <w:rFonts w:eastAsia="Times New Roman"/>
        </w:rPr>
        <w:t xml:space="preserve">unpredictable, </w:t>
      </w:r>
      <w:r>
        <w:rPr>
          <w:rFonts w:eastAsia="Times New Roman"/>
        </w:rPr>
        <w:t xml:space="preserve">arbitrary, and inequitable. </w:t>
      </w:r>
      <w:r w:rsidR="0057649C">
        <w:rPr>
          <w:rFonts w:eastAsia="Times New Roman"/>
        </w:rPr>
        <w:t xml:space="preserve"> </w:t>
      </w:r>
      <w:r w:rsidR="00D24FE3">
        <w:rPr>
          <w:rFonts w:eastAsia="Times New Roman"/>
        </w:rPr>
        <w:t xml:space="preserve">Corporations can pay very large settlements, which ultimately cost the shareholders and innocent employees, while culpable individuals within the corporation are not punished.  </w:t>
      </w:r>
      <w:r w:rsidR="00CC01D4">
        <w:rPr>
          <w:rFonts w:eastAsia="Times New Roman"/>
        </w:rPr>
        <w:t xml:space="preserve">Federal </w:t>
      </w:r>
      <w:r w:rsidR="00D24FE3">
        <w:rPr>
          <w:rFonts w:eastAsia="Times New Roman"/>
        </w:rPr>
        <w:t xml:space="preserve">Judge Jed </w:t>
      </w:r>
      <w:proofErr w:type="spellStart"/>
      <w:r w:rsidR="00D24FE3">
        <w:rPr>
          <w:rFonts w:eastAsia="Times New Roman"/>
        </w:rPr>
        <w:t>Rakoff</w:t>
      </w:r>
      <w:proofErr w:type="spellEnd"/>
      <w:r w:rsidR="00D24FE3">
        <w:rPr>
          <w:rFonts w:eastAsia="Times New Roman"/>
        </w:rPr>
        <w:t xml:space="preserve"> has argued that the “failure of the government to bring to justice those [individuals</w:t>
      </w:r>
      <w:r w:rsidR="00EE40F0">
        <w:rPr>
          <w:rFonts w:eastAsia="Times New Roman"/>
        </w:rPr>
        <w:t>]</w:t>
      </w:r>
      <w:r w:rsidR="00D24FE3">
        <w:rPr>
          <w:rFonts w:eastAsia="Times New Roman"/>
        </w:rPr>
        <w:t xml:space="preserve"> responsible for </w:t>
      </w:r>
      <w:r w:rsidR="00E11982">
        <w:rPr>
          <w:rFonts w:eastAsia="Times New Roman"/>
        </w:rPr>
        <w:t>[the wrongdoing] bespeaks weaknesses in our prosecutorial system that needs to be addressed.”</w:t>
      </w:r>
      <w:r w:rsidR="00E11982">
        <w:rPr>
          <w:rStyle w:val="FootnoteReference"/>
          <w:rFonts w:eastAsia="Times New Roman"/>
        </w:rPr>
        <w:footnoteReference w:id="15"/>
      </w:r>
      <w:r w:rsidR="00E11982">
        <w:rPr>
          <w:rFonts w:eastAsia="Times New Roman"/>
        </w:rPr>
        <w:t xml:space="preserve">  Other commentators have argued for b</w:t>
      </w:r>
      <w:r w:rsidR="0057649C">
        <w:rPr>
          <w:rFonts w:eastAsia="Times New Roman"/>
        </w:rPr>
        <w:t>etter transparency</w:t>
      </w:r>
      <w:r w:rsidR="00E11982">
        <w:rPr>
          <w:rFonts w:eastAsia="Times New Roman"/>
        </w:rPr>
        <w:t xml:space="preserve"> and consistency in the settlements</w:t>
      </w:r>
      <w:r w:rsidR="0057649C">
        <w:rPr>
          <w:rFonts w:eastAsia="Times New Roman"/>
        </w:rPr>
        <w:t>.</w:t>
      </w:r>
      <w:r w:rsidR="009866F7">
        <w:rPr>
          <w:rStyle w:val="FootnoteReference"/>
          <w:rFonts w:eastAsia="Times New Roman"/>
        </w:rPr>
        <w:footnoteReference w:id="16"/>
      </w:r>
      <w:r w:rsidR="0057649C">
        <w:rPr>
          <w:rFonts w:eastAsia="Times New Roman"/>
        </w:rPr>
        <w:t xml:space="preserve">  </w:t>
      </w:r>
      <w:r w:rsidR="00981E1B">
        <w:rPr>
          <w:rFonts w:eastAsia="Times New Roman"/>
        </w:rPr>
        <w:t xml:space="preserve">Understanding the facts of the case and how the law is applied is important in an open society </w:t>
      </w:r>
      <w:r w:rsidR="000E10A5">
        <w:rPr>
          <w:rFonts w:eastAsia="Times New Roman"/>
        </w:rPr>
        <w:t xml:space="preserve">operating </w:t>
      </w:r>
      <w:r w:rsidR="00981E1B">
        <w:rPr>
          <w:rFonts w:eastAsia="Times New Roman"/>
        </w:rPr>
        <w:t xml:space="preserve">under the rule of law. </w:t>
      </w:r>
    </w:p>
    <w:p w:rsidR="00981E1B" w:rsidRDefault="00981E1B" w:rsidP="00CE2FE0">
      <w:pPr>
        <w:overflowPunct w:val="0"/>
        <w:spacing w:line="360" w:lineRule="auto"/>
        <w:ind w:firstLine="720"/>
        <w:textAlignment w:val="baseline"/>
        <w:rPr>
          <w:rFonts w:eastAsia="Times New Roman"/>
          <w:szCs w:val="24"/>
        </w:rPr>
      </w:pPr>
      <w:r>
        <w:rPr>
          <w:rFonts w:eastAsia="Times New Roman"/>
          <w:szCs w:val="24"/>
        </w:rPr>
        <w:t xml:space="preserve">Another example of our complicated relationship with legal entities is the recent Supreme Court case of </w:t>
      </w:r>
      <w:r w:rsidR="00F847C2" w:rsidRPr="00981E1B">
        <w:rPr>
          <w:i/>
          <w:szCs w:val="24"/>
          <w:shd w:val="clear" w:color="auto" w:fill="FFFFFF"/>
        </w:rPr>
        <w:t>Burwell v. Hobby Lobby Stores</w:t>
      </w:r>
      <w:r w:rsidR="00040CA4">
        <w:rPr>
          <w:i/>
          <w:szCs w:val="24"/>
          <w:shd w:val="clear" w:color="auto" w:fill="FFFFFF"/>
        </w:rPr>
        <w:t>, Inc</w:t>
      </w:r>
      <w:r>
        <w:rPr>
          <w:szCs w:val="24"/>
          <w:shd w:val="clear" w:color="auto" w:fill="FFFFFF"/>
        </w:rPr>
        <w:t>.</w:t>
      </w:r>
      <w:r w:rsidR="00AC61B1">
        <w:rPr>
          <w:rStyle w:val="FootnoteReference"/>
          <w:szCs w:val="24"/>
          <w:shd w:val="clear" w:color="auto" w:fill="FFFFFF"/>
        </w:rPr>
        <w:footnoteReference w:id="17"/>
      </w:r>
      <w:r>
        <w:rPr>
          <w:szCs w:val="24"/>
          <w:shd w:val="clear" w:color="auto" w:fill="FFFFFF"/>
        </w:rPr>
        <w:t xml:space="preserve">  </w:t>
      </w:r>
      <w:proofErr w:type="gramStart"/>
      <w:r>
        <w:rPr>
          <w:szCs w:val="24"/>
          <w:shd w:val="clear" w:color="auto" w:fill="FFFFFF"/>
        </w:rPr>
        <w:t>The</w:t>
      </w:r>
      <w:proofErr w:type="gramEnd"/>
      <w:r>
        <w:rPr>
          <w:szCs w:val="24"/>
          <w:shd w:val="clear" w:color="auto" w:fill="FFFFFF"/>
        </w:rPr>
        <w:t xml:space="preserve"> facts in the case were well publicized</w:t>
      </w:r>
      <w:r w:rsidR="00BC4002">
        <w:rPr>
          <w:szCs w:val="24"/>
          <w:shd w:val="clear" w:color="auto" w:fill="FFFFFF"/>
        </w:rPr>
        <w:t>, if not</w:t>
      </w:r>
      <w:r>
        <w:rPr>
          <w:rFonts w:eastAsia="Times New Roman"/>
          <w:szCs w:val="24"/>
        </w:rPr>
        <w:t xml:space="preserve"> politicized.  </w:t>
      </w:r>
      <w:r w:rsidR="00BC3274">
        <w:rPr>
          <w:rFonts w:eastAsia="Times New Roman"/>
          <w:szCs w:val="24"/>
        </w:rPr>
        <w:t xml:space="preserve">Three closely held corporations sued the Federal </w:t>
      </w:r>
      <w:r w:rsidR="00BC3274">
        <w:rPr>
          <w:rFonts w:eastAsia="Times New Roman"/>
          <w:szCs w:val="24"/>
        </w:rPr>
        <w:lastRenderedPageBreak/>
        <w:t xml:space="preserve">Department of Health and Human Services to avoid providing certain contraceptive drugs </w:t>
      </w:r>
      <w:r w:rsidR="00BC4002">
        <w:rPr>
          <w:rFonts w:eastAsia="Times New Roman"/>
          <w:szCs w:val="24"/>
        </w:rPr>
        <w:t xml:space="preserve">and devices </w:t>
      </w:r>
      <w:r w:rsidR="00BC3274">
        <w:rPr>
          <w:rFonts w:eastAsia="Times New Roman"/>
          <w:szCs w:val="24"/>
        </w:rPr>
        <w:t>under their employee health insurance plans, as required under the Affordable Care Act</w:t>
      </w:r>
      <w:r w:rsidR="00717D37">
        <w:rPr>
          <w:rFonts w:eastAsia="Times New Roman"/>
          <w:szCs w:val="24"/>
        </w:rPr>
        <w:t xml:space="preserve"> (</w:t>
      </w:r>
      <w:r w:rsidR="00862856">
        <w:rPr>
          <w:rFonts w:eastAsia="Times New Roman"/>
          <w:szCs w:val="24"/>
        </w:rPr>
        <w:t>the “</w:t>
      </w:r>
      <w:r w:rsidR="00717D37" w:rsidRPr="00862856">
        <w:rPr>
          <w:rFonts w:eastAsia="Times New Roman"/>
          <w:i/>
          <w:szCs w:val="24"/>
        </w:rPr>
        <w:t>ACA</w:t>
      </w:r>
      <w:r w:rsidR="00862856">
        <w:rPr>
          <w:rFonts w:eastAsia="Times New Roman"/>
          <w:szCs w:val="24"/>
        </w:rPr>
        <w:t>”</w:t>
      </w:r>
      <w:r w:rsidR="00717D37">
        <w:rPr>
          <w:rFonts w:eastAsia="Times New Roman"/>
          <w:szCs w:val="24"/>
        </w:rPr>
        <w:t>)</w:t>
      </w:r>
      <w:r w:rsidR="00BC3274">
        <w:rPr>
          <w:rFonts w:eastAsia="Times New Roman"/>
          <w:szCs w:val="24"/>
        </w:rPr>
        <w:t>.</w:t>
      </w:r>
      <w:r w:rsidR="00367E4F">
        <w:rPr>
          <w:rStyle w:val="FootnoteReference"/>
          <w:rFonts w:eastAsia="Times New Roman"/>
          <w:szCs w:val="24"/>
        </w:rPr>
        <w:footnoteReference w:id="18"/>
      </w:r>
      <w:r w:rsidR="00BC3274">
        <w:rPr>
          <w:rFonts w:eastAsia="Times New Roman"/>
          <w:szCs w:val="24"/>
        </w:rPr>
        <w:t xml:space="preserve">  They contended that providing the drugs </w:t>
      </w:r>
      <w:r w:rsidR="00BC4002">
        <w:rPr>
          <w:rFonts w:eastAsia="Times New Roman"/>
          <w:szCs w:val="24"/>
        </w:rPr>
        <w:t xml:space="preserve">and devices </w:t>
      </w:r>
      <w:r w:rsidR="00BC3274">
        <w:rPr>
          <w:rFonts w:eastAsia="Times New Roman"/>
          <w:szCs w:val="24"/>
        </w:rPr>
        <w:t>substantial</w:t>
      </w:r>
      <w:r w:rsidR="008109F7">
        <w:rPr>
          <w:rFonts w:eastAsia="Times New Roman"/>
          <w:szCs w:val="24"/>
        </w:rPr>
        <w:t>ly</w:t>
      </w:r>
      <w:r w:rsidR="00BC3274">
        <w:rPr>
          <w:rFonts w:eastAsia="Times New Roman"/>
          <w:szCs w:val="24"/>
        </w:rPr>
        <w:t xml:space="preserve"> burden</w:t>
      </w:r>
      <w:r w:rsidR="008109F7">
        <w:rPr>
          <w:rFonts w:eastAsia="Times New Roman"/>
          <w:szCs w:val="24"/>
        </w:rPr>
        <w:t xml:space="preserve">ed their free exercise of religion, which </w:t>
      </w:r>
      <w:r w:rsidR="009F3887">
        <w:rPr>
          <w:rFonts w:eastAsia="Times New Roman"/>
          <w:szCs w:val="24"/>
        </w:rPr>
        <w:t>was</w:t>
      </w:r>
      <w:r w:rsidR="008109F7">
        <w:rPr>
          <w:rFonts w:eastAsia="Times New Roman"/>
          <w:szCs w:val="24"/>
        </w:rPr>
        <w:t xml:space="preserve"> protected under the Religious Freedom Restoration Act</w:t>
      </w:r>
      <w:r w:rsidR="00367E4F">
        <w:rPr>
          <w:rFonts w:eastAsia="Times New Roman"/>
          <w:szCs w:val="24"/>
        </w:rPr>
        <w:t xml:space="preserve"> (</w:t>
      </w:r>
      <w:r w:rsidR="00862856">
        <w:rPr>
          <w:rFonts w:eastAsia="Times New Roman"/>
          <w:szCs w:val="24"/>
        </w:rPr>
        <w:t>the “</w:t>
      </w:r>
      <w:r w:rsidR="00367E4F" w:rsidRPr="00862856">
        <w:rPr>
          <w:rFonts w:eastAsia="Times New Roman"/>
          <w:i/>
          <w:szCs w:val="24"/>
        </w:rPr>
        <w:t>RFRA</w:t>
      </w:r>
      <w:r w:rsidR="00862856">
        <w:rPr>
          <w:rFonts w:eastAsia="Times New Roman"/>
          <w:szCs w:val="24"/>
        </w:rPr>
        <w:t>”</w:t>
      </w:r>
      <w:r w:rsidR="00367E4F">
        <w:rPr>
          <w:rFonts w:eastAsia="Times New Roman"/>
          <w:szCs w:val="24"/>
        </w:rPr>
        <w:t>)</w:t>
      </w:r>
      <w:r w:rsidR="008109F7">
        <w:rPr>
          <w:rFonts w:eastAsia="Times New Roman"/>
          <w:szCs w:val="24"/>
        </w:rPr>
        <w:t>.</w:t>
      </w:r>
      <w:r w:rsidR="00C73A55">
        <w:rPr>
          <w:rStyle w:val="FootnoteReference"/>
          <w:rFonts w:eastAsia="Times New Roman"/>
          <w:szCs w:val="24"/>
        </w:rPr>
        <w:footnoteReference w:id="19"/>
      </w:r>
      <w:r w:rsidR="008109F7">
        <w:rPr>
          <w:rFonts w:eastAsia="Times New Roman"/>
          <w:szCs w:val="24"/>
        </w:rPr>
        <w:t xml:space="preserve">  </w:t>
      </w:r>
      <w:r w:rsidR="00BC3274">
        <w:rPr>
          <w:rFonts w:eastAsia="Times New Roman"/>
          <w:szCs w:val="24"/>
        </w:rPr>
        <w:t xml:space="preserve">The Tenth Circuit had affirmed </w:t>
      </w:r>
      <w:r w:rsidR="008109F7">
        <w:rPr>
          <w:rFonts w:eastAsia="Times New Roman"/>
          <w:szCs w:val="24"/>
        </w:rPr>
        <w:t xml:space="preserve">the claims of Hobby Lobby and </w:t>
      </w:r>
      <w:proofErr w:type="spellStart"/>
      <w:r w:rsidR="008109F7">
        <w:rPr>
          <w:rFonts w:eastAsia="Times New Roman"/>
          <w:szCs w:val="24"/>
        </w:rPr>
        <w:t>Mardel</w:t>
      </w:r>
      <w:proofErr w:type="spellEnd"/>
      <w:r w:rsidR="008109F7">
        <w:rPr>
          <w:rFonts w:eastAsia="Times New Roman"/>
          <w:szCs w:val="24"/>
        </w:rPr>
        <w:t>, companies owned and operated by the Green family.</w:t>
      </w:r>
      <w:r w:rsidR="008109F7">
        <w:rPr>
          <w:rStyle w:val="FootnoteReference"/>
          <w:rFonts w:eastAsia="Times New Roman"/>
          <w:szCs w:val="24"/>
        </w:rPr>
        <w:footnoteReference w:id="20"/>
      </w:r>
      <w:r w:rsidR="008109F7">
        <w:rPr>
          <w:rFonts w:eastAsia="Times New Roman"/>
          <w:szCs w:val="24"/>
        </w:rPr>
        <w:t xml:space="preserve">  The Third Circuit had denied the claims of Conestoga Wood Specialties, which was owned and operated by the Hahn family.</w:t>
      </w:r>
      <w:r w:rsidR="008109F7">
        <w:rPr>
          <w:rStyle w:val="FootnoteReference"/>
          <w:rFonts w:eastAsia="Times New Roman"/>
          <w:szCs w:val="24"/>
        </w:rPr>
        <w:footnoteReference w:id="21"/>
      </w:r>
      <w:r w:rsidR="008109F7">
        <w:rPr>
          <w:rFonts w:eastAsia="Times New Roman"/>
          <w:szCs w:val="24"/>
        </w:rPr>
        <w:t xml:space="preserve"> </w:t>
      </w:r>
    </w:p>
    <w:p w:rsidR="00981E1B" w:rsidRPr="00367E4F" w:rsidRDefault="00BC4002" w:rsidP="00040CA4">
      <w:pPr>
        <w:overflowPunct w:val="0"/>
        <w:spacing w:line="360" w:lineRule="auto"/>
        <w:ind w:firstLine="720"/>
        <w:textAlignment w:val="baseline"/>
        <w:rPr>
          <w:rFonts w:eastAsia="Times New Roman"/>
          <w:szCs w:val="24"/>
        </w:rPr>
      </w:pPr>
      <w:r>
        <w:rPr>
          <w:rFonts w:eastAsia="Times New Roman"/>
          <w:szCs w:val="24"/>
        </w:rPr>
        <w:t xml:space="preserve">The central issue in </w:t>
      </w:r>
      <w:r w:rsidR="00981E1B" w:rsidRPr="00BC4002">
        <w:rPr>
          <w:rFonts w:eastAsia="Times New Roman"/>
          <w:i/>
          <w:szCs w:val="24"/>
        </w:rPr>
        <w:t>Hobby Lobby</w:t>
      </w:r>
      <w:r w:rsidR="00981E1B" w:rsidRPr="00367E4F">
        <w:rPr>
          <w:rFonts w:eastAsia="Times New Roman"/>
          <w:szCs w:val="24"/>
        </w:rPr>
        <w:t xml:space="preserve"> </w:t>
      </w:r>
      <w:r>
        <w:rPr>
          <w:rFonts w:eastAsia="Times New Roman"/>
          <w:szCs w:val="24"/>
        </w:rPr>
        <w:t xml:space="preserve">was </w:t>
      </w:r>
      <w:r w:rsidR="00A313EB" w:rsidRPr="00367E4F">
        <w:rPr>
          <w:rFonts w:eastAsia="Times New Roman"/>
          <w:szCs w:val="24"/>
        </w:rPr>
        <w:t xml:space="preserve">whether </w:t>
      </w:r>
      <w:r>
        <w:rPr>
          <w:rFonts w:eastAsia="Times New Roman"/>
          <w:szCs w:val="24"/>
        </w:rPr>
        <w:t xml:space="preserve">a </w:t>
      </w:r>
      <w:r>
        <w:rPr>
          <w:szCs w:val="24"/>
        </w:rPr>
        <w:t>for-profit</w:t>
      </w:r>
      <w:r w:rsidRPr="00367E4F">
        <w:rPr>
          <w:szCs w:val="24"/>
        </w:rPr>
        <w:t xml:space="preserve"> corporation</w:t>
      </w:r>
      <w:r>
        <w:rPr>
          <w:szCs w:val="24"/>
        </w:rPr>
        <w:t xml:space="preserve"> could claim the protections of </w:t>
      </w:r>
      <w:r w:rsidR="00DD439C">
        <w:rPr>
          <w:szCs w:val="24"/>
        </w:rPr>
        <w:t xml:space="preserve">the </w:t>
      </w:r>
      <w:r w:rsidR="00D06CE3" w:rsidRPr="00367E4F">
        <w:rPr>
          <w:szCs w:val="24"/>
        </w:rPr>
        <w:t xml:space="preserve">RFRA </w:t>
      </w:r>
      <w:r>
        <w:rPr>
          <w:szCs w:val="24"/>
        </w:rPr>
        <w:t xml:space="preserve">and thus avoid </w:t>
      </w:r>
      <w:r w:rsidR="00D06CE3" w:rsidRPr="00367E4F">
        <w:rPr>
          <w:szCs w:val="24"/>
        </w:rPr>
        <w:t>the contraception mandate</w:t>
      </w:r>
      <w:r>
        <w:rPr>
          <w:szCs w:val="24"/>
        </w:rPr>
        <w:t>s</w:t>
      </w:r>
      <w:r w:rsidR="00D06CE3" w:rsidRPr="00367E4F">
        <w:rPr>
          <w:szCs w:val="24"/>
        </w:rPr>
        <w:t xml:space="preserve"> of the A</w:t>
      </w:r>
      <w:r w:rsidR="00717D37">
        <w:rPr>
          <w:szCs w:val="24"/>
        </w:rPr>
        <w:t>CA</w:t>
      </w:r>
      <w:r>
        <w:rPr>
          <w:szCs w:val="24"/>
        </w:rPr>
        <w:t xml:space="preserve">.  Within this central issue were </w:t>
      </w:r>
      <w:r w:rsidR="00FD1426">
        <w:rPr>
          <w:szCs w:val="24"/>
        </w:rPr>
        <w:t>many sub-</w:t>
      </w:r>
      <w:r>
        <w:rPr>
          <w:szCs w:val="24"/>
        </w:rPr>
        <w:t xml:space="preserve">issues involving </w:t>
      </w:r>
      <w:r w:rsidR="00717D37">
        <w:rPr>
          <w:szCs w:val="24"/>
        </w:rPr>
        <w:t xml:space="preserve">the scope of the ACA and the RFRA, free speech and other constitutional law </w:t>
      </w:r>
      <w:r>
        <w:rPr>
          <w:szCs w:val="24"/>
        </w:rPr>
        <w:t>questions, statutory construction and Congressional intent</w:t>
      </w:r>
      <w:r w:rsidR="00FD1426">
        <w:rPr>
          <w:szCs w:val="24"/>
        </w:rPr>
        <w:t xml:space="preserve">, which are beyond the scope of this paper. </w:t>
      </w:r>
    </w:p>
    <w:p w:rsidR="00FD1426" w:rsidRDefault="00D27685" w:rsidP="00CE2FE0">
      <w:pPr>
        <w:overflowPunct w:val="0"/>
        <w:spacing w:line="360" w:lineRule="auto"/>
        <w:ind w:firstLine="720"/>
        <w:textAlignment w:val="baseline"/>
        <w:rPr>
          <w:rFonts w:eastAsia="Times New Roman"/>
          <w:szCs w:val="24"/>
        </w:rPr>
      </w:pPr>
      <w:r>
        <w:rPr>
          <w:rFonts w:eastAsia="Times New Roman"/>
          <w:szCs w:val="24"/>
        </w:rPr>
        <w:t xml:space="preserve">For corporate law purposes, the </w:t>
      </w:r>
      <w:r w:rsidR="00E069EF">
        <w:rPr>
          <w:rFonts w:eastAsia="Times New Roman"/>
          <w:szCs w:val="24"/>
        </w:rPr>
        <w:t>case raises fundamental issue</w:t>
      </w:r>
      <w:r w:rsidR="00FD1426">
        <w:rPr>
          <w:rFonts w:eastAsia="Times New Roman"/>
          <w:szCs w:val="24"/>
        </w:rPr>
        <w:t>s about the nature of legal entities and their relationship to their owners</w:t>
      </w:r>
      <w:r w:rsidR="00F643F1">
        <w:rPr>
          <w:rFonts w:eastAsia="Times New Roman"/>
          <w:szCs w:val="24"/>
        </w:rPr>
        <w:t xml:space="preserve">.  </w:t>
      </w:r>
      <w:r>
        <w:rPr>
          <w:rFonts w:eastAsia="Times New Roman"/>
          <w:szCs w:val="24"/>
        </w:rPr>
        <w:t xml:space="preserve">Can a for-profit corporation have religious beliefs?  </w:t>
      </w:r>
      <w:r w:rsidR="00FD1426">
        <w:rPr>
          <w:rFonts w:eastAsia="Times New Roman"/>
          <w:szCs w:val="24"/>
        </w:rPr>
        <w:t>Can the religious beliefs of the owners be imputed to the corporation?  Does that imputation void the legal separation between t</w:t>
      </w:r>
      <w:r w:rsidR="009F3887">
        <w:rPr>
          <w:rFonts w:eastAsia="Times New Roman"/>
          <w:szCs w:val="24"/>
        </w:rPr>
        <w:t xml:space="preserve">he corporation and its owners? </w:t>
      </w:r>
    </w:p>
    <w:p w:rsidR="008555D8" w:rsidRDefault="00717D37" w:rsidP="00CE2FE0">
      <w:pPr>
        <w:overflowPunct w:val="0"/>
        <w:spacing w:line="360" w:lineRule="auto"/>
        <w:ind w:firstLine="720"/>
        <w:textAlignment w:val="baseline"/>
        <w:rPr>
          <w:rFonts w:eastAsia="Times New Roman"/>
          <w:szCs w:val="24"/>
        </w:rPr>
      </w:pPr>
      <w:r>
        <w:rPr>
          <w:rFonts w:eastAsia="Times New Roman"/>
          <w:szCs w:val="24"/>
        </w:rPr>
        <w:t>Justice Ginsburg in dissent took the historical position.  She quoted Chief Justice John Marshall,</w:t>
      </w:r>
      <w:r w:rsidR="008555D8">
        <w:rPr>
          <w:rFonts w:eastAsia="Times New Roman"/>
          <w:szCs w:val="24"/>
        </w:rPr>
        <w:t xml:space="preserve"> who wrote</w:t>
      </w:r>
      <w:r>
        <w:rPr>
          <w:rFonts w:eastAsia="Times New Roman"/>
          <w:szCs w:val="24"/>
        </w:rPr>
        <w:t xml:space="preserve"> </w:t>
      </w:r>
      <w:r w:rsidR="008555D8">
        <w:rPr>
          <w:rFonts w:eastAsia="Times New Roman"/>
          <w:szCs w:val="24"/>
        </w:rPr>
        <w:t xml:space="preserve">in 1819, </w:t>
      </w:r>
      <w:r>
        <w:rPr>
          <w:rFonts w:eastAsia="Times New Roman"/>
          <w:szCs w:val="24"/>
        </w:rPr>
        <w:t>“[A corporation is] an artificial being, invisible, intangible, and existing only in contemplation of law.”</w:t>
      </w:r>
      <w:r w:rsidR="008555D8">
        <w:rPr>
          <w:rStyle w:val="FootnoteReference"/>
          <w:rFonts w:eastAsia="Times New Roman"/>
          <w:szCs w:val="24"/>
        </w:rPr>
        <w:footnoteReference w:id="22"/>
      </w:r>
      <w:r>
        <w:rPr>
          <w:rFonts w:eastAsia="Times New Roman"/>
          <w:szCs w:val="24"/>
        </w:rPr>
        <w:t xml:space="preserve">  </w:t>
      </w:r>
      <w:r w:rsidR="008555D8">
        <w:rPr>
          <w:rFonts w:eastAsia="Times New Roman"/>
          <w:szCs w:val="24"/>
        </w:rPr>
        <w:t xml:space="preserve">She then turned to Justice John Paul Stevens, who wrote more recently, “[Corporations] have no consciences, no beliefs, no feelings, no thoughts, </w:t>
      </w:r>
      <w:proofErr w:type="gramStart"/>
      <w:r w:rsidR="008555D8">
        <w:rPr>
          <w:rFonts w:eastAsia="Times New Roman"/>
          <w:szCs w:val="24"/>
        </w:rPr>
        <w:t>no</w:t>
      </w:r>
      <w:proofErr w:type="gramEnd"/>
      <w:r w:rsidR="008555D8">
        <w:rPr>
          <w:rFonts w:eastAsia="Times New Roman"/>
          <w:szCs w:val="24"/>
        </w:rPr>
        <w:t xml:space="preserve"> desires.”</w:t>
      </w:r>
      <w:r w:rsidR="008555D8">
        <w:rPr>
          <w:rStyle w:val="FootnoteReference"/>
          <w:rFonts w:eastAsia="Times New Roman"/>
          <w:szCs w:val="24"/>
        </w:rPr>
        <w:footnoteReference w:id="23"/>
      </w:r>
      <w:r w:rsidR="008555D8">
        <w:rPr>
          <w:rFonts w:eastAsia="Times New Roman"/>
          <w:szCs w:val="24"/>
        </w:rPr>
        <w:t xml:space="preserve">  </w:t>
      </w:r>
      <w:r w:rsidR="00BE413C">
        <w:rPr>
          <w:rFonts w:eastAsia="Times New Roman"/>
          <w:szCs w:val="24"/>
        </w:rPr>
        <w:t>Justice Ginsburg argue</w:t>
      </w:r>
      <w:r w:rsidR="00F154F4">
        <w:rPr>
          <w:rFonts w:eastAsia="Times New Roman"/>
          <w:szCs w:val="24"/>
        </w:rPr>
        <w:t>d</w:t>
      </w:r>
      <w:r w:rsidR="00BE413C">
        <w:rPr>
          <w:rFonts w:eastAsia="Times New Roman"/>
          <w:szCs w:val="24"/>
        </w:rPr>
        <w:t xml:space="preserve"> that the primary purpose of a for-profit corporation i</w:t>
      </w:r>
      <w:r w:rsidR="00BA0E46">
        <w:rPr>
          <w:rFonts w:eastAsia="Times New Roman"/>
          <w:szCs w:val="24"/>
        </w:rPr>
        <w:t>s</w:t>
      </w:r>
      <w:r w:rsidR="00BE413C">
        <w:rPr>
          <w:rFonts w:eastAsia="Times New Roman"/>
          <w:szCs w:val="24"/>
        </w:rPr>
        <w:t xml:space="preserve"> to make money.  Any charitable or religious expression </w:t>
      </w:r>
      <w:r w:rsidR="00F154F4">
        <w:rPr>
          <w:rFonts w:eastAsia="Times New Roman"/>
          <w:szCs w:val="24"/>
        </w:rPr>
        <w:t>was</w:t>
      </w:r>
      <w:r w:rsidR="00BE413C">
        <w:rPr>
          <w:rFonts w:eastAsia="Times New Roman"/>
          <w:szCs w:val="24"/>
        </w:rPr>
        <w:t xml:space="preserve"> </w:t>
      </w:r>
      <w:r w:rsidR="00BE413C">
        <w:rPr>
          <w:rFonts w:eastAsia="Times New Roman"/>
          <w:szCs w:val="24"/>
        </w:rPr>
        <w:lastRenderedPageBreak/>
        <w:t>merely incidental</w:t>
      </w:r>
      <w:r w:rsidR="004934D0">
        <w:rPr>
          <w:rFonts w:eastAsia="Times New Roman"/>
          <w:szCs w:val="24"/>
        </w:rPr>
        <w:t xml:space="preserve"> to the corporation’s primary purpose</w:t>
      </w:r>
      <w:r w:rsidR="00BE413C">
        <w:rPr>
          <w:rFonts w:eastAsia="Times New Roman"/>
          <w:szCs w:val="24"/>
        </w:rPr>
        <w:t>.  While no one would doubt the sincerity of the owners’ religious beliefs, imputing those beliefs to the corporation ignore</w:t>
      </w:r>
      <w:r w:rsidR="00F154F4">
        <w:rPr>
          <w:rFonts w:eastAsia="Times New Roman"/>
          <w:szCs w:val="24"/>
        </w:rPr>
        <w:t>d</w:t>
      </w:r>
      <w:r w:rsidR="00BE413C">
        <w:rPr>
          <w:rFonts w:eastAsia="Times New Roman"/>
          <w:szCs w:val="24"/>
        </w:rPr>
        <w:t xml:space="preserve"> the legal separation </w:t>
      </w:r>
      <w:r w:rsidR="004934D0">
        <w:rPr>
          <w:rFonts w:eastAsia="Times New Roman"/>
          <w:szCs w:val="24"/>
        </w:rPr>
        <w:t>between t</w:t>
      </w:r>
      <w:r w:rsidR="000413F1">
        <w:rPr>
          <w:rFonts w:eastAsia="Times New Roman"/>
          <w:szCs w:val="24"/>
        </w:rPr>
        <w:t xml:space="preserve">he corporation and its owners. </w:t>
      </w:r>
    </w:p>
    <w:p w:rsidR="004934D0" w:rsidRDefault="004934D0" w:rsidP="00CE2FE0">
      <w:pPr>
        <w:overflowPunct w:val="0"/>
        <w:spacing w:line="360" w:lineRule="auto"/>
        <w:ind w:firstLine="720"/>
        <w:textAlignment w:val="baseline"/>
        <w:rPr>
          <w:rFonts w:eastAsia="Times New Roman"/>
          <w:szCs w:val="24"/>
        </w:rPr>
      </w:pPr>
      <w:r>
        <w:rPr>
          <w:rFonts w:eastAsia="Times New Roman"/>
          <w:szCs w:val="24"/>
        </w:rPr>
        <w:t>Justice Alito in the majority argue</w:t>
      </w:r>
      <w:r w:rsidR="00F154F4">
        <w:rPr>
          <w:rFonts w:eastAsia="Times New Roman"/>
          <w:szCs w:val="24"/>
        </w:rPr>
        <w:t>d</w:t>
      </w:r>
      <w:r>
        <w:rPr>
          <w:rFonts w:eastAsia="Times New Roman"/>
          <w:szCs w:val="24"/>
        </w:rPr>
        <w:t xml:space="preserve"> that a for-profit corporation can legally “exercise a religion” since a corporation is not limited in its purposes.  </w:t>
      </w:r>
      <w:r w:rsidR="00457419">
        <w:rPr>
          <w:rFonts w:eastAsia="Times New Roman"/>
          <w:szCs w:val="24"/>
        </w:rPr>
        <w:t>F</w:t>
      </w:r>
      <w:r>
        <w:rPr>
          <w:rFonts w:eastAsia="Times New Roman"/>
          <w:szCs w:val="24"/>
        </w:rPr>
        <w:t xml:space="preserve">or-profit corporations </w:t>
      </w:r>
      <w:r w:rsidR="00457419">
        <w:rPr>
          <w:rFonts w:eastAsia="Times New Roman"/>
          <w:szCs w:val="24"/>
        </w:rPr>
        <w:t xml:space="preserve">often </w:t>
      </w:r>
      <w:r>
        <w:rPr>
          <w:rFonts w:eastAsia="Times New Roman"/>
          <w:szCs w:val="24"/>
        </w:rPr>
        <w:t>engage in charitable activity.  He further argue</w:t>
      </w:r>
      <w:r w:rsidR="00F154F4">
        <w:rPr>
          <w:rFonts w:eastAsia="Times New Roman"/>
          <w:szCs w:val="24"/>
        </w:rPr>
        <w:t>d</w:t>
      </w:r>
      <w:r>
        <w:rPr>
          <w:rFonts w:eastAsia="Times New Roman"/>
          <w:szCs w:val="24"/>
        </w:rPr>
        <w:t xml:space="preserve"> that the act of incorporation should not deprive an individual of his or her religious beliefs.  For him, a closely held, family owned and operated corporation can reflect the religious beliefs of its owners. </w:t>
      </w:r>
      <w:r w:rsidR="00457419">
        <w:rPr>
          <w:rFonts w:eastAsia="Times New Roman"/>
          <w:szCs w:val="24"/>
        </w:rPr>
        <w:t xml:space="preserve"> He would not draw a bright line between the corporation and its owners.</w:t>
      </w:r>
      <w:r w:rsidR="00457419">
        <w:rPr>
          <w:rStyle w:val="FootnoteReference"/>
          <w:rFonts w:eastAsia="Times New Roman"/>
          <w:szCs w:val="24"/>
        </w:rPr>
        <w:footnoteReference w:id="24"/>
      </w:r>
      <w:r w:rsidR="00457419">
        <w:rPr>
          <w:rFonts w:eastAsia="Times New Roman"/>
          <w:szCs w:val="24"/>
        </w:rPr>
        <w:t xml:space="preserve">  </w:t>
      </w:r>
    </w:p>
    <w:p w:rsidR="00457419" w:rsidRPr="002A7AF7" w:rsidRDefault="000413F1" w:rsidP="00CE2FE0">
      <w:pPr>
        <w:overflowPunct w:val="0"/>
        <w:spacing w:line="360" w:lineRule="auto"/>
        <w:ind w:firstLine="720"/>
        <w:textAlignment w:val="baseline"/>
        <w:rPr>
          <w:rFonts w:eastAsia="Times New Roman"/>
          <w:szCs w:val="24"/>
        </w:rPr>
      </w:pPr>
      <w:r w:rsidRPr="002A7AF7">
        <w:rPr>
          <w:rFonts w:eastAsia="Times New Roman"/>
          <w:szCs w:val="24"/>
        </w:rPr>
        <w:t>While these issues comp</w:t>
      </w:r>
      <w:r w:rsidR="00121E44">
        <w:rPr>
          <w:rFonts w:eastAsia="Times New Roman"/>
          <w:szCs w:val="24"/>
        </w:rPr>
        <w:t>o</w:t>
      </w:r>
      <w:r w:rsidRPr="002A7AF7">
        <w:rPr>
          <w:rFonts w:eastAsia="Times New Roman"/>
          <w:szCs w:val="24"/>
        </w:rPr>
        <w:t>sed only portions of Justice Alito’s and Justice Ginsburg’s respective opinions, they were heavily brief</w:t>
      </w:r>
      <w:r w:rsidR="00121E44">
        <w:rPr>
          <w:rFonts w:eastAsia="Times New Roman"/>
          <w:szCs w:val="24"/>
        </w:rPr>
        <w:t>ed</w:t>
      </w:r>
      <w:r w:rsidRPr="002A7AF7">
        <w:rPr>
          <w:rFonts w:eastAsia="Times New Roman"/>
          <w:szCs w:val="24"/>
        </w:rPr>
        <w:t xml:space="preserve">.  An </w:t>
      </w:r>
      <w:r w:rsidRPr="002A7AF7">
        <w:rPr>
          <w:rFonts w:eastAsia="Times New Roman"/>
          <w:i/>
          <w:szCs w:val="24"/>
        </w:rPr>
        <w:t>amic</w:t>
      </w:r>
      <w:r w:rsidR="002A7AF7" w:rsidRPr="002A7AF7">
        <w:rPr>
          <w:rFonts w:eastAsia="Times New Roman"/>
          <w:i/>
          <w:szCs w:val="24"/>
        </w:rPr>
        <w:t>us</w:t>
      </w:r>
      <w:r w:rsidRPr="002A7AF7">
        <w:rPr>
          <w:rFonts w:eastAsia="Times New Roman"/>
          <w:szCs w:val="24"/>
        </w:rPr>
        <w:t xml:space="preserve"> brief was filed by 44 corporate </w:t>
      </w:r>
      <w:r w:rsidR="00A00B9C" w:rsidRPr="002A7AF7">
        <w:rPr>
          <w:rFonts w:eastAsia="Times New Roman"/>
          <w:szCs w:val="24"/>
        </w:rPr>
        <w:t xml:space="preserve">and criminal </w:t>
      </w:r>
      <w:r w:rsidRPr="002A7AF7">
        <w:rPr>
          <w:rFonts w:eastAsia="Times New Roman"/>
          <w:szCs w:val="24"/>
        </w:rPr>
        <w:t>law professors, which argued that a corporation is a distinct legal entity separate from the beliefs of its shareholders.</w:t>
      </w:r>
      <w:r w:rsidR="00A00B9C" w:rsidRPr="002A7AF7">
        <w:rPr>
          <w:rStyle w:val="FootnoteReference"/>
          <w:rFonts w:eastAsia="Times New Roman"/>
          <w:szCs w:val="24"/>
        </w:rPr>
        <w:footnoteReference w:id="25"/>
      </w:r>
      <w:r w:rsidRPr="002A7AF7">
        <w:rPr>
          <w:rFonts w:eastAsia="Times New Roman"/>
          <w:szCs w:val="24"/>
        </w:rPr>
        <w:t xml:space="preserve">  It argued that this distinction is “essential” to “the orderly conduct of business” and that “there is no basis . . . to disregard the separateness” in the </w:t>
      </w:r>
      <w:r w:rsidRPr="002A7AF7">
        <w:rPr>
          <w:rFonts w:eastAsia="Times New Roman"/>
          <w:i/>
          <w:szCs w:val="24"/>
        </w:rPr>
        <w:t>Hobby Lobby</w:t>
      </w:r>
      <w:r w:rsidRPr="002A7AF7">
        <w:rPr>
          <w:rFonts w:eastAsia="Times New Roman"/>
          <w:szCs w:val="24"/>
        </w:rPr>
        <w:t xml:space="preserve"> case.</w:t>
      </w:r>
      <w:r w:rsidR="00F154F4">
        <w:rPr>
          <w:rStyle w:val="FootnoteReference"/>
          <w:rFonts w:eastAsia="Times New Roman"/>
          <w:szCs w:val="24"/>
        </w:rPr>
        <w:footnoteReference w:id="26"/>
      </w:r>
      <w:r w:rsidRPr="002A7AF7">
        <w:rPr>
          <w:rFonts w:eastAsia="Times New Roman"/>
          <w:szCs w:val="24"/>
        </w:rPr>
        <w:t xml:space="preserve">  It argued that Hobby Lobby was </w:t>
      </w:r>
      <w:r w:rsidRPr="002A7AF7">
        <w:rPr>
          <w:rFonts w:eastAsia="Times New Roman"/>
          <w:szCs w:val="24"/>
        </w:rPr>
        <w:lastRenderedPageBreak/>
        <w:t xml:space="preserve">attempting to “reverse veil pierce” by imputing the shareholders’ beliefs to the corporations and that </w:t>
      </w:r>
      <w:r w:rsidR="00121E44">
        <w:rPr>
          <w:rFonts w:eastAsia="Times New Roman"/>
          <w:szCs w:val="24"/>
        </w:rPr>
        <w:t xml:space="preserve">application of </w:t>
      </w:r>
      <w:r w:rsidRPr="002A7AF7">
        <w:rPr>
          <w:rFonts w:eastAsia="Times New Roman"/>
          <w:szCs w:val="24"/>
        </w:rPr>
        <w:t>the concept was inapp</w:t>
      </w:r>
      <w:r w:rsidR="00121E44">
        <w:rPr>
          <w:rFonts w:eastAsia="Times New Roman"/>
          <w:szCs w:val="24"/>
        </w:rPr>
        <w:t>ropriate</w:t>
      </w:r>
      <w:r w:rsidRPr="002A7AF7">
        <w:rPr>
          <w:rFonts w:eastAsia="Times New Roman"/>
          <w:szCs w:val="24"/>
        </w:rPr>
        <w:t>.</w:t>
      </w:r>
      <w:r w:rsidR="000948D0">
        <w:rPr>
          <w:rStyle w:val="FootnoteReference"/>
          <w:rFonts w:eastAsia="Times New Roman"/>
          <w:szCs w:val="24"/>
        </w:rPr>
        <w:footnoteReference w:id="27"/>
      </w:r>
      <w:r w:rsidRPr="002A7AF7">
        <w:rPr>
          <w:rFonts w:eastAsia="Times New Roman"/>
          <w:szCs w:val="24"/>
        </w:rPr>
        <w:t xml:space="preserve">  </w:t>
      </w:r>
    </w:p>
    <w:p w:rsidR="000413F1" w:rsidRDefault="00934A97" w:rsidP="00CE2FE0">
      <w:pPr>
        <w:overflowPunct w:val="0"/>
        <w:spacing w:line="360" w:lineRule="auto"/>
        <w:ind w:firstLine="720"/>
        <w:textAlignment w:val="baseline"/>
        <w:rPr>
          <w:rFonts w:eastAsia="Times New Roman"/>
          <w:szCs w:val="24"/>
        </w:rPr>
      </w:pPr>
      <w:r>
        <w:rPr>
          <w:rFonts w:eastAsia="Times New Roman"/>
          <w:szCs w:val="24"/>
        </w:rPr>
        <w:t>While neither Justice used the term “reverse veil pierce” (</w:t>
      </w:r>
      <w:r w:rsidR="00862856">
        <w:rPr>
          <w:rFonts w:eastAsia="Times New Roman"/>
          <w:szCs w:val="24"/>
        </w:rPr>
        <w:t>“</w:t>
      </w:r>
      <w:r w:rsidRPr="00862856">
        <w:rPr>
          <w:rFonts w:eastAsia="Times New Roman"/>
          <w:i/>
          <w:szCs w:val="24"/>
        </w:rPr>
        <w:t>RVP</w:t>
      </w:r>
      <w:r w:rsidR="00862856">
        <w:rPr>
          <w:rFonts w:eastAsia="Times New Roman"/>
          <w:szCs w:val="24"/>
        </w:rPr>
        <w:t>”</w:t>
      </w:r>
      <w:r>
        <w:rPr>
          <w:rFonts w:eastAsia="Times New Roman"/>
          <w:szCs w:val="24"/>
        </w:rPr>
        <w:t xml:space="preserve">), the concept was evident in the opinions.  Another corporate law professor, Stephen Bainbridge, had suggested that RVP </w:t>
      </w:r>
      <w:r w:rsidR="00A00B9C">
        <w:rPr>
          <w:rFonts w:eastAsia="Times New Roman"/>
          <w:szCs w:val="24"/>
        </w:rPr>
        <w:t>could be an appropriate position for Hobby Lobby to take.</w:t>
      </w:r>
      <w:r w:rsidR="00A00B9C">
        <w:rPr>
          <w:rStyle w:val="FootnoteReference"/>
          <w:rFonts w:eastAsia="Times New Roman"/>
          <w:szCs w:val="24"/>
        </w:rPr>
        <w:footnoteReference w:id="28"/>
      </w:r>
      <w:r w:rsidR="00A00B9C">
        <w:rPr>
          <w:rFonts w:eastAsia="Times New Roman"/>
          <w:szCs w:val="24"/>
        </w:rPr>
        <w:t xml:space="preserve">  Bainbridge argued that RVP permits a court to disregard a corporation’s separateness to allow shareholders to enjoy benefits otherwise available only to individuals. </w:t>
      </w:r>
      <w:r>
        <w:rPr>
          <w:rFonts w:eastAsia="Times New Roman"/>
          <w:szCs w:val="24"/>
        </w:rPr>
        <w:t xml:space="preserve"> </w:t>
      </w:r>
      <w:r w:rsidR="00A00B9C">
        <w:rPr>
          <w:rFonts w:eastAsia="Times New Roman"/>
          <w:szCs w:val="24"/>
        </w:rPr>
        <w:t>He further argue</w:t>
      </w:r>
      <w:r w:rsidR="002E438E">
        <w:rPr>
          <w:rFonts w:eastAsia="Times New Roman"/>
          <w:szCs w:val="24"/>
        </w:rPr>
        <w:t>d</w:t>
      </w:r>
      <w:r w:rsidR="00A00B9C">
        <w:rPr>
          <w:rFonts w:eastAsia="Times New Roman"/>
          <w:szCs w:val="24"/>
        </w:rPr>
        <w:t xml:space="preserve"> that </w:t>
      </w:r>
      <w:r w:rsidR="00F546BF">
        <w:rPr>
          <w:rFonts w:eastAsia="Times New Roman"/>
          <w:szCs w:val="24"/>
        </w:rPr>
        <w:t xml:space="preserve">RVP should apply to shareholders seeking protection under the free exercise clause of the First Amendment or the RFRA. </w:t>
      </w:r>
      <w:r w:rsidR="002A7AF7">
        <w:rPr>
          <w:rFonts w:eastAsia="Times New Roman"/>
          <w:szCs w:val="24"/>
        </w:rPr>
        <w:t xml:space="preserve"> The </w:t>
      </w:r>
      <w:r w:rsidR="002A7AF7" w:rsidRPr="00B37938">
        <w:rPr>
          <w:rFonts w:eastAsia="Times New Roman"/>
          <w:i/>
          <w:szCs w:val="24"/>
        </w:rPr>
        <w:t>amicus</w:t>
      </w:r>
      <w:r w:rsidR="002A7AF7">
        <w:rPr>
          <w:rFonts w:eastAsia="Times New Roman"/>
          <w:szCs w:val="24"/>
        </w:rPr>
        <w:t xml:space="preserve"> brief took issue with Bainbridge’s position, to which Bainbridge replied in another essay</w:t>
      </w:r>
      <w:r w:rsidR="006615F4">
        <w:rPr>
          <w:rFonts w:eastAsia="Times New Roman"/>
          <w:szCs w:val="24"/>
        </w:rPr>
        <w:t xml:space="preserve"> published before the </w:t>
      </w:r>
      <w:r w:rsidR="006615F4" w:rsidRPr="006615F4">
        <w:rPr>
          <w:rFonts w:eastAsia="Times New Roman"/>
          <w:i/>
          <w:szCs w:val="24"/>
        </w:rPr>
        <w:t>Hobby Lobby</w:t>
      </w:r>
      <w:r w:rsidR="006615F4">
        <w:rPr>
          <w:rFonts w:eastAsia="Times New Roman"/>
          <w:szCs w:val="24"/>
        </w:rPr>
        <w:t xml:space="preserve"> opinion was released</w:t>
      </w:r>
      <w:r w:rsidR="002A7AF7">
        <w:rPr>
          <w:rFonts w:eastAsia="Times New Roman"/>
          <w:szCs w:val="24"/>
        </w:rPr>
        <w:t>.</w:t>
      </w:r>
      <w:r w:rsidR="002E438E">
        <w:rPr>
          <w:rStyle w:val="FootnoteReference"/>
          <w:rFonts w:eastAsia="Times New Roman"/>
          <w:szCs w:val="24"/>
        </w:rPr>
        <w:footnoteReference w:id="29"/>
      </w:r>
      <w:r w:rsidR="002A7AF7">
        <w:rPr>
          <w:rFonts w:eastAsia="Times New Roman"/>
          <w:szCs w:val="24"/>
        </w:rPr>
        <w:t xml:space="preserve"> </w:t>
      </w:r>
    </w:p>
    <w:p w:rsidR="002A7AF7" w:rsidRDefault="002A7AF7" w:rsidP="00CE2FE0">
      <w:pPr>
        <w:overflowPunct w:val="0"/>
        <w:spacing w:line="360" w:lineRule="auto"/>
        <w:ind w:firstLine="720"/>
        <w:textAlignment w:val="baseline"/>
        <w:rPr>
          <w:rFonts w:eastAsia="Times New Roman"/>
          <w:szCs w:val="24"/>
        </w:rPr>
      </w:pPr>
      <w:r w:rsidRPr="008A41E7">
        <w:rPr>
          <w:rFonts w:eastAsia="Times New Roman"/>
          <w:i/>
          <w:szCs w:val="24"/>
        </w:rPr>
        <w:t>Hobby Lobby</w:t>
      </w:r>
      <w:r>
        <w:rPr>
          <w:rFonts w:eastAsia="Times New Roman"/>
          <w:szCs w:val="24"/>
        </w:rPr>
        <w:t xml:space="preserve"> </w:t>
      </w:r>
      <w:r w:rsidR="008A41E7">
        <w:rPr>
          <w:rFonts w:eastAsia="Times New Roman"/>
          <w:szCs w:val="24"/>
        </w:rPr>
        <w:t xml:space="preserve">may be important not for </w:t>
      </w:r>
      <w:r w:rsidR="00677B21">
        <w:rPr>
          <w:rFonts w:eastAsia="Times New Roman"/>
          <w:szCs w:val="24"/>
        </w:rPr>
        <w:t>answers it gives, but for the questions it raises</w:t>
      </w:r>
      <w:r w:rsidR="008A41E7">
        <w:rPr>
          <w:rFonts w:eastAsia="Times New Roman"/>
          <w:szCs w:val="24"/>
        </w:rPr>
        <w:t xml:space="preserve">.  We </w:t>
      </w:r>
      <w:r w:rsidR="006615F4">
        <w:rPr>
          <w:rFonts w:eastAsia="Times New Roman"/>
          <w:szCs w:val="24"/>
        </w:rPr>
        <w:t xml:space="preserve">now </w:t>
      </w:r>
      <w:r w:rsidR="008A41E7">
        <w:rPr>
          <w:rFonts w:eastAsia="Times New Roman"/>
          <w:szCs w:val="24"/>
        </w:rPr>
        <w:t xml:space="preserve">know that Hobby Lobby, </w:t>
      </w:r>
      <w:proofErr w:type="spellStart"/>
      <w:r w:rsidR="008A41E7">
        <w:rPr>
          <w:rFonts w:eastAsia="Times New Roman"/>
          <w:szCs w:val="24"/>
        </w:rPr>
        <w:t>Mardel</w:t>
      </w:r>
      <w:proofErr w:type="spellEnd"/>
      <w:r w:rsidR="008A41E7">
        <w:rPr>
          <w:rFonts w:eastAsia="Times New Roman"/>
          <w:szCs w:val="24"/>
        </w:rPr>
        <w:t xml:space="preserve"> and </w:t>
      </w:r>
      <w:proofErr w:type="spellStart"/>
      <w:r w:rsidR="008A41E7">
        <w:rPr>
          <w:rFonts w:eastAsia="Times New Roman"/>
          <w:szCs w:val="24"/>
        </w:rPr>
        <w:t>Conestogo</w:t>
      </w:r>
      <w:proofErr w:type="spellEnd"/>
      <w:r w:rsidR="008A41E7">
        <w:rPr>
          <w:rFonts w:eastAsia="Times New Roman"/>
          <w:szCs w:val="24"/>
        </w:rPr>
        <w:t xml:space="preserve"> are exempt from certain conceptive requirements of the APA.  But who else is exempt?  </w:t>
      </w:r>
      <w:r>
        <w:rPr>
          <w:rFonts w:eastAsia="Times New Roman"/>
          <w:szCs w:val="24"/>
        </w:rPr>
        <w:t>Wh</w:t>
      </w:r>
      <w:r w:rsidR="008A41E7">
        <w:rPr>
          <w:rFonts w:eastAsia="Times New Roman"/>
          <w:szCs w:val="24"/>
        </w:rPr>
        <w:t xml:space="preserve">o are </w:t>
      </w:r>
      <w:r>
        <w:rPr>
          <w:rFonts w:eastAsia="Times New Roman"/>
          <w:szCs w:val="24"/>
        </w:rPr>
        <w:t>“closely held corporation</w:t>
      </w:r>
      <w:r w:rsidR="008A41E7">
        <w:rPr>
          <w:rFonts w:eastAsia="Times New Roman"/>
          <w:szCs w:val="24"/>
        </w:rPr>
        <w:t>s</w:t>
      </w:r>
      <w:r>
        <w:rPr>
          <w:rFonts w:eastAsia="Times New Roman"/>
          <w:szCs w:val="24"/>
        </w:rPr>
        <w:t>”?</w:t>
      </w:r>
      <w:r w:rsidR="00105B8D">
        <w:rPr>
          <w:rStyle w:val="FootnoteReference"/>
          <w:rFonts w:eastAsia="Times New Roman"/>
          <w:szCs w:val="24"/>
        </w:rPr>
        <w:footnoteReference w:id="30"/>
      </w:r>
      <w:r>
        <w:rPr>
          <w:rFonts w:eastAsia="Times New Roman"/>
          <w:szCs w:val="24"/>
        </w:rPr>
        <w:t xml:space="preserve">  </w:t>
      </w:r>
      <w:r w:rsidR="008A41E7">
        <w:rPr>
          <w:rFonts w:eastAsia="Times New Roman"/>
          <w:szCs w:val="24"/>
        </w:rPr>
        <w:t xml:space="preserve">Which closely held corporations have religious beliefs?  </w:t>
      </w:r>
      <w:r w:rsidR="00D24F62">
        <w:rPr>
          <w:rFonts w:eastAsia="Times New Roman"/>
          <w:szCs w:val="24"/>
        </w:rPr>
        <w:t xml:space="preserve">What happens if some, but not all, shareholders agree?  What unexpected consequences might flow </w:t>
      </w:r>
      <w:r w:rsidR="00D24F62">
        <w:rPr>
          <w:rFonts w:eastAsia="Times New Roman"/>
          <w:szCs w:val="24"/>
        </w:rPr>
        <w:lastRenderedPageBreak/>
        <w:t xml:space="preserve">from </w:t>
      </w:r>
      <w:r w:rsidR="000D011E">
        <w:rPr>
          <w:rFonts w:eastAsia="Times New Roman"/>
          <w:szCs w:val="24"/>
        </w:rPr>
        <w:t>disregarding the legal separation</w:t>
      </w:r>
      <w:r w:rsidR="00D24F62">
        <w:rPr>
          <w:rFonts w:eastAsia="Times New Roman"/>
          <w:szCs w:val="24"/>
        </w:rPr>
        <w:t xml:space="preserve">?  Will the RFRA protect corporations from </w:t>
      </w:r>
      <w:r>
        <w:rPr>
          <w:rFonts w:eastAsia="Times New Roman"/>
          <w:szCs w:val="24"/>
        </w:rPr>
        <w:t xml:space="preserve">other </w:t>
      </w:r>
      <w:r w:rsidR="00D24F62">
        <w:rPr>
          <w:rFonts w:eastAsia="Times New Roman"/>
          <w:szCs w:val="24"/>
        </w:rPr>
        <w:t xml:space="preserve">regulatory </w:t>
      </w:r>
      <w:r>
        <w:rPr>
          <w:rFonts w:eastAsia="Times New Roman"/>
          <w:szCs w:val="24"/>
        </w:rPr>
        <w:t>burdens?  These questions show that our understanding of and relationship with legal entities is far from certain</w:t>
      </w:r>
      <w:r w:rsidR="00D24F62">
        <w:rPr>
          <w:rFonts w:eastAsia="Times New Roman"/>
          <w:szCs w:val="24"/>
        </w:rPr>
        <w:t>.  Seeking the tru</w:t>
      </w:r>
      <w:r w:rsidR="006C489A">
        <w:rPr>
          <w:rFonts w:eastAsia="Times New Roman"/>
          <w:szCs w:val="24"/>
        </w:rPr>
        <w:t>th</w:t>
      </w:r>
      <w:r w:rsidR="00D24F62">
        <w:rPr>
          <w:rFonts w:eastAsia="Times New Roman"/>
          <w:szCs w:val="24"/>
        </w:rPr>
        <w:t xml:space="preserve"> is indeed an ongoing task.  </w:t>
      </w:r>
    </w:p>
    <w:p w:rsidR="00331B18" w:rsidRPr="00363BC9" w:rsidRDefault="00331B18" w:rsidP="00A6041D">
      <w:pPr>
        <w:pStyle w:val="Heading3"/>
        <w:rPr>
          <w:rFonts w:eastAsia="Times New Roman"/>
        </w:rPr>
      </w:pPr>
      <w:r w:rsidRPr="00363BC9">
        <w:rPr>
          <w:rFonts w:eastAsia="Times New Roman"/>
        </w:rPr>
        <w:t>Oklahoma Developments</w:t>
      </w:r>
    </w:p>
    <w:p w:rsidR="007E2E48" w:rsidRDefault="007E2E48" w:rsidP="007E2E48">
      <w:pPr>
        <w:overflowPunct w:val="0"/>
        <w:spacing w:line="360" w:lineRule="auto"/>
        <w:ind w:firstLine="720"/>
        <w:textAlignment w:val="baseline"/>
        <w:rPr>
          <w:rFonts w:eastAsia="Times New Roman"/>
        </w:rPr>
      </w:pPr>
      <w:r>
        <w:rPr>
          <w:rFonts w:eastAsia="Times New Roman"/>
        </w:rPr>
        <w:t xml:space="preserve">National events </w:t>
      </w:r>
      <w:r w:rsidR="000D011E">
        <w:rPr>
          <w:rFonts w:eastAsia="Times New Roman"/>
        </w:rPr>
        <w:t xml:space="preserve">may have diverted attention from, but have </w:t>
      </w:r>
      <w:r>
        <w:rPr>
          <w:rFonts w:eastAsia="Times New Roman"/>
        </w:rPr>
        <w:t>not diminished</w:t>
      </w:r>
      <w:r w:rsidR="000D011E">
        <w:rPr>
          <w:rFonts w:eastAsia="Times New Roman"/>
        </w:rPr>
        <w:t>,</w:t>
      </w:r>
      <w:r>
        <w:rPr>
          <w:rFonts w:eastAsia="Times New Roman"/>
        </w:rPr>
        <w:t xml:space="preserve"> state level activity.  The Legislature passed Senate Bill 1799, which applies a prevailing party rule for payment of attorney fees in shareholder derivative actions.  The Legislature did not pass two other bills.  One would have updated the Oklahoma General Corporation Act and the Oklahoma LLC Act.  Another would have adopted the Revised Uniform Unincorporated Nonprofit Association Act.  We also have recent Oklahoma cases touching on corporate law.  </w:t>
      </w:r>
    </w:p>
    <w:p w:rsidR="004F05D5" w:rsidRPr="00363BC9" w:rsidRDefault="004F05D5" w:rsidP="009E4539">
      <w:pPr>
        <w:pStyle w:val="Heading4"/>
        <w:spacing w:before="240"/>
        <w:rPr>
          <w:rFonts w:eastAsia="Times New Roman"/>
        </w:rPr>
      </w:pPr>
      <w:r w:rsidRPr="00363BC9">
        <w:rPr>
          <w:rFonts w:eastAsia="Times New Roman"/>
        </w:rPr>
        <w:t>Legislation</w:t>
      </w:r>
      <w:r w:rsidRPr="00363BC9">
        <w:t xml:space="preserve"> </w:t>
      </w:r>
    </w:p>
    <w:p w:rsidR="00FF4FF5" w:rsidRDefault="00095E83" w:rsidP="000C46EB">
      <w:pPr>
        <w:overflowPunct w:val="0"/>
        <w:spacing w:line="360" w:lineRule="auto"/>
        <w:ind w:firstLine="720"/>
        <w:textAlignment w:val="baseline"/>
        <w:rPr>
          <w:iCs/>
        </w:rPr>
      </w:pPr>
      <w:proofErr w:type="gramStart"/>
      <w:r w:rsidRPr="00095E83">
        <w:rPr>
          <w:i/>
          <w:iCs/>
        </w:rPr>
        <w:t>Senate Bill 1799</w:t>
      </w:r>
      <w:r>
        <w:rPr>
          <w:iCs/>
        </w:rPr>
        <w:t>.</w:t>
      </w:r>
      <w:proofErr w:type="gramEnd"/>
      <w:r>
        <w:rPr>
          <w:iCs/>
        </w:rPr>
        <w:t xml:space="preserve">  </w:t>
      </w:r>
      <w:r w:rsidR="00FF4FF5" w:rsidRPr="00363BC9">
        <w:rPr>
          <w:iCs/>
        </w:rPr>
        <w:t>The</w:t>
      </w:r>
      <w:r w:rsidR="00FF4FF5">
        <w:rPr>
          <w:iCs/>
        </w:rPr>
        <w:t xml:space="preserve"> Legislature passed one bill in 2014 </w:t>
      </w:r>
      <w:r w:rsidR="00FF4FF5" w:rsidRPr="00363BC9">
        <w:rPr>
          <w:iCs/>
        </w:rPr>
        <w:t xml:space="preserve">dealing with business </w:t>
      </w:r>
      <w:r w:rsidR="00FF4FF5">
        <w:rPr>
          <w:iCs/>
        </w:rPr>
        <w:t xml:space="preserve">entities, which was Senate Bill 1799.  The bill amended </w:t>
      </w:r>
      <w:r w:rsidR="00522C64">
        <w:rPr>
          <w:iCs/>
        </w:rPr>
        <w:t xml:space="preserve">the </w:t>
      </w:r>
      <w:r w:rsidR="00170245">
        <w:t xml:space="preserve">Oklahoma General Corporation </w:t>
      </w:r>
      <w:r w:rsidR="00522C64">
        <w:rPr>
          <w:iCs/>
        </w:rPr>
        <w:t>Act’s section dealing with shareholder derivative actions.</w:t>
      </w:r>
      <w:r w:rsidR="00170245">
        <w:rPr>
          <w:rStyle w:val="FootnoteReference"/>
          <w:iCs/>
        </w:rPr>
        <w:footnoteReference w:id="31"/>
      </w:r>
      <w:r w:rsidR="00522C64">
        <w:rPr>
          <w:iCs/>
        </w:rPr>
        <w:t xml:space="preserve">  It added a subsection providing that a court may award attorney fees to a plaintiff if the compromise or settlement of the derivat</w:t>
      </w:r>
      <w:r w:rsidR="00A45BFE">
        <w:rPr>
          <w:iCs/>
        </w:rPr>
        <w:t>iv</w:t>
      </w:r>
      <w:r w:rsidR="00522C64">
        <w:rPr>
          <w:iCs/>
        </w:rPr>
        <w:t>e action confers a substantial benefit upon the corporation</w:t>
      </w:r>
      <w:r w:rsidR="005645A6">
        <w:rPr>
          <w:iCs/>
        </w:rPr>
        <w:t xml:space="preserve">.  </w:t>
      </w:r>
      <w:r w:rsidR="005645A6">
        <w:rPr>
          <w:iCs/>
        </w:rPr>
        <w:lastRenderedPageBreak/>
        <w:t xml:space="preserve">This </w:t>
      </w:r>
      <w:r w:rsidR="003F764E">
        <w:rPr>
          <w:iCs/>
        </w:rPr>
        <w:t xml:space="preserve">generally </w:t>
      </w:r>
      <w:r w:rsidR="00AD72C8">
        <w:rPr>
          <w:iCs/>
        </w:rPr>
        <w:t>restate</w:t>
      </w:r>
      <w:r w:rsidR="003F764E">
        <w:rPr>
          <w:iCs/>
        </w:rPr>
        <w:t>s</w:t>
      </w:r>
      <w:r w:rsidR="00AD72C8">
        <w:rPr>
          <w:iCs/>
        </w:rPr>
        <w:t xml:space="preserve"> existing law</w:t>
      </w:r>
      <w:r w:rsidR="00522C64">
        <w:rPr>
          <w:iCs/>
        </w:rPr>
        <w:t>.</w:t>
      </w:r>
      <w:r w:rsidR="00AD72C8">
        <w:rPr>
          <w:rStyle w:val="FootnoteReference"/>
          <w:iCs/>
        </w:rPr>
        <w:footnoteReference w:id="32"/>
      </w:r>
      <w:r w:rsidR="00522C64">
        <w:rPr>
          <w:iCs/>
        </w:rPr>
        <w:t xml:space="preserve">  It added another subsection requiring the non-prevailing party to pay the attorney fees of the prevailing party in derivative actions. </w:t>
      </w:r>
      <w:r w:rsidR="008415AC">
        <w:rPr>
          <w:iCs/>
        </w:rPr>
        <w:t xml:space="preserve"> This subsection departs from existing law. </w:t>
      </w:r>
    </w:p>
    <w:p w:rsidR="0019080D" w:rsidRDefault="00A45BFE" w:rsidP="000C46EB">
      <w:pPr>
        <w:overflowPunct w:val="0"/>
        <w:spacing w:line="360" w:lineRule="auto"/>
        <w:ind w:firstLine="720"/>
        <w:textAlignment w:val="baseline"/>
        <w:rPr>
          <w:iCs/>
        </w:rPr>
      </w:pPr>
      <w:r>
        <w:rPr>
          <w:iCs/>
        </w:rPr>
        <w:t>T</w:t>
      </w:r>
      <w:r w:rsidR="006D5E21">
        <w:rPr>
          <w:iCs/>
        </w:rPr>
        <w:t>o understand th</w:t>
      </w:r>
      <w:r>
        <w:rPr>
          <w:iCs/>
        </w:rPr>
        <w:t>e bill</w:t>
      </w:r>
      <w:r w:rsidR="006D5E21">
        <w:rPr>
          <w:iCs/>
        </w:rPr>
        <w:t xml:space="preserve">, one must examine </w:t>
      </w:r>
      <w:r w:rsidR="00E748CB">
        <w:rPr>
          <w:iCs/>
        </w:rPr>
        <w:t>the rapid growth in derivative actions against announced merger and acquisition transactions.</w:t>
      </w:r>
      <w:r w:rsidR="00A6560D">
        <w:rPr>
          <w:rStyle w:val="FootnoteReference"/>
          <w:iCs/>
        </w:rPr>
        <w:footnoteReference w:id="33"/>
      </w:r>
      <w:r w:rsidR="00E748CB">
        <w:rPr>
          <w:iCs/>
        </w:rPr>
        <w:t xml:space="preserve">  </w:t>
      </w:r>
      <w:r w:rsidR="000001B0">
        <w:rPr>
          <w:iCs/>
        </w:rPr>
        <w:t xml:space="preserve">Researchers </w:t>
      </w:r>
      <w:proofErr w:type="spellStart"/>
      <w:r w:rsidR="000001B0" w:rsidRPr="000001B0">
        <w:rPr>
          <w:rStyle w:val="FootnotetextChar0"/>
          <w:sz w:val="24"/>
          <w:szCs w:val="24"/>
        </w:rPr>
        <w:t>Daines</w:t>
      </w:r>
      <w:proofErr w:type="spellEnd"/>
      <w:r w:rsidR="000001B0" w:rsidRPr="000001B0">
        <w:rPr>
          <w:rStyle w:val="FootnotetextChar0"/>
          <w:sz w:val="24"/>
          <w:szCs w:val="24"/>
        </w:rPr>
        <w:t xml:space="preserve"> and </w:t>
      </w:r>
      <w:proofErr w:type="spellStart"/>
      <w:r w:rsidR="000001B0" w:rsidRPr="000001B0">
        <w:rPr>
          <w:rStyle w:val="FootnotetextChar0"/>
          <w:sz w:val="24"/>
          <w:szCs w:val="24"/>
        </w:rPr>
        <w:t>Koumrian</w:t>
      </w:r>
      <w:proofErr w:type="spellEnd"/>
      <w:r w:rsidR="000001B0" w:rsidRPr="000001B0">
        <w:rPr>
          <w:iCs/>
          <w:szCs w:val="24"/>
        </w:rPr>
        <w:t xml:space="preserve"> </w:t>
      </w:r>
      <w:r w:rsidR="000001B0">
        <w:rPr>
          <w:iCs/>
          <w:szCs w:val="24"/>
        </w:rPr>
        <w:t>found that i</w:t>
      </w:r>
      <w:r>
        <w:rPr>
          <w:iCs/>
        </w:rPr>
        <w:t xml:space="preserve">n </w:t>
      </w:r>
      <w:r w:rsidR="00B54AD3">
        <w:rPr>
          <w:iCs/>
        </w:rPr>
        <w:t>200</w:t>
      </w:r>
      <w:r w:rsidR="009410DD">
        <w:rPr>
          <w:iCs/>
        </w:rPr>
        <w:t>7</w:t>
      </w:r>
      <w:r w:rsidR="00B54AD3">
        <w:rPr>
          <w:iCs/>
        </w:rPr>
        <w:t xml:space="preserve"> approximately </w:t>
      </w:r>
      <w:r w:rsidR="009410DD">
        <w:rPr>
          <w:iCs/>
        </w:rPr>
        <w:t xml:space="preserve">53% of </w:t>
      </w:r>
      <w:r w:rsidR="00E748CB">
        <w:rPr>
          <w:iCs/>
        </w:rPr>
        <w:t>M&amp;A</w:t>
      </w:r>
      <w:r w:rsidR="009410DD">
        <w:rPr>
          <w:iCs/>
        </w:rPr>
        <w:t xml:space="preserve"> transactions over $500 million were challenged in court.  In 201</w:t>
      </w:r>
      <w:r w:rsidR="00B618AF">
        <w:rPr>
          <w:iCs/>
        </w:rPr>
        <w:t>2</w:t>
      </w:r>
      <w:r w:rsidR="009410DD">
        <w:rPr>
          <w:iCs/>
        </w:rPr>
        <w:t>, 96% of those transactions were challenged.  Virtually all of th</w:t>
      </w:r>
      <w:r w:rsidR="00E748CB">
        <w:rPr>
          <w:iCs/>
        </w:rPr>
        <w:t>o</w:t>
      </w:r>
      <w:r w:rsidR="009410DD">
        <w:rPr>
          <w:iCs/>
        </w:rPr>
        <w:t xml:space="preserve">se </w:t>
      </w:r>
      <w:r w:rsidR="00E748CB">
        <w:rPr>
          <w:iCs/>
        </w:rPr>
        <w:t xml:space="preserve">cases </w:t>
      </w:r>
      <w:r w:rsidR="009410DD">
        <w:rPr>
          <w:iCs/>
        </w:rPr>
        <w:t xml:space="preserve">were </w:t>
      </w:r>
      <w:r w:rsidR="005F3B4F">
        <w:rPr>
          <w:iCs/>
        </w:rPr>
        <w:t xml:space="preserve">usually </w:t>
      </w:r>
      <w:r w:rsidR="009410DD">
        <w:rPr>
          <w:iCs/>
        </w:rPr>
        <w:t xml:space="preserve">settled within weeks of filing to permit the transaction to </w:t>
      </w:r>
      <w:r w:rsidR="007A48F3">
        <w:rPr>
          <w:iCs/>
        </w:rPr>
        <w:t>close</w:t>
      </w:r>
      <w:r w:rsidR="009410DD">
        <w:rPr>
          <w:iCs/>
        </w:rPr>
        <w:t>.  Over 80% were settled with only changes in the disclosure documents and</w:t>
      </w:r>
      <w:r w:rsidR="006D5E21">
        <w:rPr>
          <w:iCs/>
        </w:rPr>
        <w:t>,</w:t>
      </w:r>
      <w:r w:rsidR="009410DD">
        <w:rPr>
          <w:iCs/>
        </w:rPr>
        <w:t xml:space="preserve"> in 9</w:t>
      </w:r>
      <w:r w:rsidR="00966231">
        <w:rPr>
          <w:iCs/>
        </w:rPr>
        <w:t>8</w:t>
      </w:r>
      <w:r w:rsidR="009410DD">
        <w:rPr>
          <w:iCs/>
        </w:rPr>
        <w:t>% of the settlements</w:t>
      </w:r>
      <w:r w:rsidR="006D5E21">
        <w:rPr>
          <w:iCs/>
        </w:rPr>
        <w:t>,</w:t>
      </w:r>
      <w:r w:rsidR="009410DD">
        <w:rPr>
          <w:iCs/>
        </w:rPr>
        <w:t xml:space="preserve"> the shareholders received no </w:t>
      </w:r>
      <w:r w:rsidR="007A48F3">
        <w:rPr>
          <w:iCs/>
        </w:rPr>
        <w:t xml:space="preserve">increase in the merger price or other </w:t>
      </w:r>
      <w:r w:rsidR="009410DD">
        <w:rPr>
          <w:iCs/>
        </w:rPr>
        <w:t>compensation.  The corporations paid on average $</w:t>
      </w:r>
      <w:r w:rsidR="00B618AF">
        <w:rPr>
          <w:iCs/>
        </w:rPr>
        <w:t>725,000</w:t>
      </w:r>
      <w:r w:rsidR="009410DD">
        <w:rPr>
          <w:iCs/>
        </w:rPr>
        <w:t xml:space="preserve"> per settlement to the plaintiff lawyers </w:t>
      </w:r>
      <w:r w:rsidR="00E748CB">
        <w:rPr>
          <w:iCs/>
        </w:rPr>
        <w:t xml:space="preserve">in addition to paying </w:t>
      </w:r>
      <w:r w:rsidR="009410DD">
        <w:rPr>
          <w:iCs/>
        </w:rPr>
        <w:t>for their own defense.</w:t>
      </w:r>
      <w:r w:rsidR="001871EE">
        <w:rPr>
          <w:rStyle w:val="FootnoteReference"/>
          <w:iCs/>
        </w:rPr>
        <w:footnoteReference w:id="34"/>
      </w:r>
      <w:r w:rsidR="009410DD">
        <w:rPr>
          <w:iCs/>
        </w:rPr>
        <w:t xml:space="preserve">  </w:t>
      </w:r>
    </w:p>
    <w:p w:rsidR="0019080D" w:rsidRDefault="009410DD" w:rsidP="000C46EB">
      <w:pPr>
        <w:overflowPunct w:val="0"/>
        <w:spacing w:line="360" w:lineRule="auto"/>
        <w:ind w:firstLine="720"/>
        <w:textAlignment w:val="baseline"/>
        <w:rPr>
          <w:iCs/>
        </w:rPr>
      </w:pPr>
      <w:r>
        <w:rPr>
          <w:iCs/>
        </w:rPr>
        <w:t xml:space="preserve">The </w:t>
      </w:r>
      <w:r w:rsidR="00040AF0">
        <w:rPr>
          <w:iCs/>
        </w:rPr>
        <w:t xml:space="preserve">rapid growth in these “disclosure only” </w:t>
      </w:r>
      <w:r w:rsidR="001871EE">
        <w:rPr>
          <w:iCs/>
        </w:rPr>
        <w:t>settlements ha</w:t>
      </w:r>
      <w:r w:rsidR="00040AF0">
        <w:rPr>
          <w:iCs/>
        </w:rPr>
        <w:t>s</w:t>
      </w:r>
      <w:r w:rsidR="001871EE">
        <w:rPr>
          <w:iCs/>
        </w:rPr>
        <w:t xml:space="preserve"> be</w:t>
      </w:r>
      <w:r w:rsidR="00040AF0">
        <w:rPr>
          <w:iCs/>
        </w:rPr>
        <w:t xml:space="preserve">en </w:t>
      </w:r>
      <w:r w:rsidR="001871EE">
        <w:rPr>
          <w:iCs/>
        </w:rPr>
        <w:t>described as a tax upon M&amp;A transactions and inimical to the shareholders’ best interests</w:t>
      </w:r>
      <w:r w:rsidR="0019080D">
        <w:rPr>
          <w:iCs/>
        </w:rPr>
        <w:t xml:space="preserve"> since the</w:t>
      </w:r>
      <w:r w:rsidR="007A48F3">
        <w:rPr>
          <w:iCs/>
        </w:rPr>
        <w:t xml:space="preserve"> </w:t>
      </w:r>
      <w:r w:rsidR="007A48F3">
        <w:rPr>
          <w:iCs/>
        </w:rPr>
        <w:lastRenderedPageBreak/>
        <w:t xml:space="preserve">shareholders </w:t>
      </w:r>
      <w:r w:rsidR="0019080D">
        <w:rPr>
          <w:iCs/>
        </w:rPr>
        <w:t>receive no financial benefit and bear all of the litigation costs</w:t>
      </w:r>
      <w:r w:rsidR="001871EE">
        <w:rPr>
          <w:iCs/>
        </w:rPr>
        <w:t>.</w:t>
      </w:r>
      <w:r w:rsidR="00972221">
        <w:rPr>
          <w:rStyle w:val="FootnoteReference"/>
          <w:iCs/>
        </w:rPr>
        <w:footnoteReference w:id="35"/>
      </w:r>
      <w:r w:rsidR="0019080D">
        <w:rPr>
          <w:iCs/>
        </w:rPr>
        <w:t xml:space="preserve">  The settlements have drawn some criticism from courts in Delaware and Texas.</w:t>
      </w:r>
      <w:r w:rsidR="007A48F3">
        <w:rPr>
          <w:rStyle w:val="FootnoteReference"/>
          <w:iCs/>
        </w:rPr>
        <w:footnoteReference w:id="36"/>
      </w:r>
      <w:r w:rsidR="0019080D">
        <w:rPr>
          <w:iCs/>
        </w:rPr>
        <w:t xml:space="preserve">  </w:t>
      </w:r>
    </w:p>
    <w:p w:rsidR="00134EE9" w:rsidRDefault="0019080D" w:rsidP="000C46EB">
      <w:pPr>
        <w:overflowPunct w:val="0"/>
        <w:spacing w:line="360" w:lineRule="auto"/>
        <w:ind w:firstLine="720"/>
        <w:textAlignment w:val="baseline"/>
        <w:rPr>
          <w:iCs/>
        </w:rPr>
      </w:pPr>
      <w:r>
        <w:rPr>
          <w:iCs/>
        </w:rPr>
        <w:t xml:space="preserve">Corporations have responded by adopting </w:t>
      </w:r>
      <w:r w:rsidR="00AD5E7D">
        <w:rPr>
          <w:iCs/>
        </w:rPr>
        <w:t>forum selection bylaws, which require shareholder suits to be filed in a designated jurisdiction.  Th</w:t>
      </w:r>
      <w:r w:rsidR="007F3693">
        <w:rPr>
          <w:iCs/>
        </w:rPr>
        <w:t>ese bylaws</w:t>
      </w:r>
      <w:r w:rsidR="00AD5E7D">
        <w:rPr>
          <w:iCs/>
        </w:rPr>
        <w:t xml:space="preserve"> consolidate the litigation in a single forum and avoid the cost of multi-district litigation.  </w:t>
      </w:r>
      <w:r w:rsidR="007F3693">
        <w:rPr>
          <w:iCs/>
        </w:rPr>
        <w:t xml:space="preserve">They </w:t>
      </w:r>
      <w:r w:rsidR="00B331A9">
        <w:rPr>
          <w:iCs/>
        </w:rPr>
        <w:t xml:space="preserve">also avoid forum shopping for jurisdictions perceived to be more favorable </w:t>
      </w:r>
      <w:r w:rsidR="007F3693">
        <w:rPr>
          <w:iCs/>
        </w:rPr>
        <w:t>to</w:t>
      </w:r>
      <w:r w:rsidR="00B331A9">
        <w:rPr>
          <w:iCs/>
        </w:rPr>
        <w:t xml:space="preserve"> the plaintiff claims.</w:t>
      </w:r>
      <w:r w:rsidR="007F3693">
        <w:rPr>
          <w:rStyle w:val="FootnoteReference"/>
          <w:iCs/>
        </w:rPr>
        <w:footnoteReference w:id="37"/>
      </w:r>
      <w:r w:rsidR="00B331A9">
        <w:rPr>
          <w:iCs/>
        </w:rPr>
        <w:t xml:space="preserve">  </w:t>
      </w:r>
      <w:r w:rsidR="00AD5E7D">
        <w:rPr>
          <w:iCs/>
        </w:rPr>
        <w:t xml:space="preserve">Since most of </w:t>
      </w:r>
      <w:r w:rsidR="00B331A9">
        <w:rPr>
          <w:iCs/>
        </w:rPr>
        <w:t xml:space="preserve">public </w:t>
      </w:r>
      <w:r w:rsidR="00AD5E7D">
        <w:rPr>
          <w:iCs/>
        </w:rPr>
        <w:t>corporations are domesticated in Delaware, the chosen forum is usually Delaware.  The Delaware courts are seen as a more predictable forum</w:t>
      </w:r>
      <w:r w:rsidR="00134EE9">
        <w:rPr>
          <w:iCs/>
        </w:rPr>
        <w:t xml:space="preserve">, which reduces the risks of outlier rulings. </w:t>
      </w:r>
      <w:r w:rsidR="002F6A31">
        <w:rPr>
          <w:iCs/>
        </w:rPr>
        <w:t xml:space="preserve"> Several courts have affirmed the enforceability of these bylaws and confidence has grown in their use.</w:t>
      </w:r>
      <w:r w:rsidR="003E1BAA">
        <w:rPr>
          <w:rStyle w:val="FootnoteReference"/>
          <w:iCs/>
        </w:rPr>
        <w:footnoteReference w:id="38"/>
      </w:r>
      <w:r w:rsidR="002F6A31">
        <w:rPr>
          <w:iCs/>
        </w:rPr>
        <w:t xml:space="preserve"> </w:t>
      </w:r>
    </w:p>
    <w:p w:rsidR="00134EE9" w:rsidRDefault="0019080D" w:rsidP="000C46EB">
      <w:pPr>
        <w:overflowPunct w:val="0"/>
        <w:spacing w:line="360" w:lineRule="auto"/>
        <w:ind w:firstLine="720"/>
        <w:textAlignment w:val="baseline"/>
        <w:rPr>
          <w:iCs/>
        </w:rPr>
      </w:pPr>
      <w:r>
        <w:rPr>
          <w:iCs/>
        </w:rPr>
        <w:t xml:space="preserve">More recently, corporations have begun adopting </w:t>
      </w:r>
      <w:r w:rsidR="00134EE9">
        <w:rPr>
          <w:iCs/>
        </w:rPr>
        <w:t>prevailing party bylaw</w:t>
      </w:r>
      <w:r>
        <w:rPr>
          <w:iCs/>
        </w:rPr>
        <w:t>s, which require a plaintiff to pay the corporation’s legal fees</w:t>
      </w:r>
      <w:r>
        <w:t xml:space="preserve"> if it does not obtain a judgment on the merits that substantially achieves the full remedy sought</w:t>
      </w:r>
      <w:r w:rsidR="00134EE9">
        <w:rPr>
          <w:iCs/>
        </w:rPr>
        <w:t>.</w:t>
      </w:r>
      <w:r>
        <w:rPr>
          <w:iCs/>
        </w:rPr>
        <w:t xml:space="preserve">  The adoption of prevailing party bylaws g</w:t>
      </w:r>
      <w:r w:rsidR="00B331A9">
        <w:rPr>
          <w:iCs/>
        </w:rPr>
        <w:t xml:space="preserve">ained momentum </w:t>
      </w:r>
      <w:r w:rsidR="002F6A31">
        <w:rPr>
          <w:iCs/>
        </w:rPr>
        <w:t>when the Delaware Chancery Court affirmed such</w:t>
      </w:r>
      <w:r w:rsidR="003E1BAA">
        <w:rPr>
          <w:iCs/>
        </w:rPr>
        <w:t xml:space="preserve"> a </w:t>
      </w:r>
      <w:r w:rsidR="003E1BAA">
        <w:rPr>
          <w:iCs/>
        </w:rPr>
        <w:lastRenderedPageBreak/>
        <w:t xml:space="preserve">bylaw in </w:t>
      </w:r>
      <w:hyperlink r:id="rId11" w:history="1">
        <w:r w:rsidR="003E1BAA" w:rsidRPr="003E1BAA">
          <w:rPr>
            <w:rStyle w:val="FootnotetextChar0"/>
            <w:i/>
            <w:sz w:val="24"/>
            <w:szCs w:val="24"/>
          </w:rPr>
          <w:t xml:space="preserve">ATP Tour, Inc. v. </w:t>
        </w:r>
        <w:proofErr w:type="spellStart"/>
        <w:r w:rsidR="003E1BAA" w:rsidRPr="003E1BAA">
          <w:rPr>
            <w:rStyle w:val="FootnotetextChar0"/>
            <w:i/>
            <w:sz w:val="24"/>
            <w:szCs w:val="24"/>
          </w:rPr>
          <w:t>Deutscher</w:t>
        </w:r>
        <w:proofErr w:type="spellEnd"/>
        <w:r w:rsidR="003E1BAA" w:rsidRPr="003E1BAA">
          <w:rPr>
            <w:rStyle w:val="FootnotetextChar0"/>
            <w:i/>
            <w:sz w:val="24"/>
            <w:szCs w:val="24"/>
          </w:rPr>
          <w:t xml:space="preserve"> Tennis Bund</w:t>
        </w:r>
      </w:hyperlink>
      <w:r w:rsidR="002F6A31">
        <w:rPr>
          <w:iCs/>
        </w:rPr>
        <w:t>.</w:t>
      </w:r>
      <w:r w:rsidR="003E1BAA">
        <w:rPr>
          <w:rStyle w:val="FootnoteReference"/>
          <w:iCs/>
        </w:rPr>
        <w:footnoteReference w:id="39"/>
      </w:r>
      <w:r w:rsidR="002F6A31">
        <w:rPr>
          <w:iCs/>
        </w:rPr>
        <w:t xml:space="preserve">  This case involved a non-profit</w:t>
      </w:r>
      <w:r w:rsidR="007F3693">
        <w:rPr>
          <w:iCs/>
        </w:rPr>
        <w:t xml:space="preserve"> corporation</w:t>
      </w:r>
      <w:r w:rsidR="002F6A31">
        <w:rPr>
          <w:iCs/>
        </w:rPr>
        <w:t xml:space="preserve">, but the rational would seem to </w:t>
      </w:r>
      <w:r w:rsidR="00294A09">
        <w:rPr>
          <w:iCs/>
        </w:rPr>
        <w:t xml:space="preserve">apply </w:t>
      </w:r>
      <w:r w:rsidR="002F6A31">
        <w:rPr>
          <w:iCs/>
        </w:rPr>
        <w:t>to for-profit corporations</w:t>
      </w:r>
      <w:r w:rsidR="00294A09">
        <w:rPr>
          <w:iCs/>
        </w:rPr>
        <w:t xml:space="preserve"> as well</w:t>
      </w:r>
      <w:r w:rsidR="002F6A31">
        <w:rPr>
          <w:iCs/>
        </w:rPr>
        <w:t xml:space="preserve">. </w:t>
      </w:r>
    </w:p>
    <w:p w:rsidR="00134EE9" w:rsidRDefault="002F6A31" w:rsidP="000C46EB">
      <w:pPr>
        <w:overflowPunct w:val="0"/>
        <w:spacing w:line="360" w:lineRule="auto"/>
        <w:ind w:firstLine="720"/>
        <w:textAlignment w:val="baseline"/>
        <w:rPr>
          <w:iCs/>
        </w:rPr>
      </w:pPr>
      <w:r>
        <w:rPr>
          <w:iCs/>
        </w:rPr>
        <w:t xml:space="preserve">Soon after the </w:t>
      </w:r>
      <w:r w:rsidRPr="00B331A9">
        <w:rPr>
          <w:i/>
          <w:iCs/>
        </w:rPr>
        <w:t xml:space="preserve">ATP </w:t>
      </w:r>
      <w:r w:rsidR="00B331A9" w:rsidRPr="00B331A9">
        <w:rPr>
          <w:i/>
          <w:iCs/>
        </w:rPr>
        <w:t>Tour</w:t>
      </w:r>
      <w:r w:rsidR="00B331A9">
        <w:rPr>
          <w:iCs/>
        </w:rPr>
        <w:t xml:space="preserve"> </w:t>
      </w:r>
      <w:r>
        <w:rPr>
          <w:iCs/>
        </w:rPr>
        <w:t xml:space="preserve">decision, the Delaware bar committee caused legislation to be introduced that would prohibit prevailing party bylaws, fearing that their use would tip the scales too far and discourage </w:t>
      </w:r>
      <w:r w:rsidR="00FE55D3">
        <w:rPr>
          <w:iCs/>
        </w:rPr>
        <w:t xml:space="preserve">meritorious </w:t>
      </w:r>
      <w:r>
        <w:rPr>
          <w:iCs/>
        </w:rPr>
        <w:t>derivative actions.</w:t>
      </w:r>
      <w:r w:rsidR="00524312">
        <w:rPr>
          <w:rStyle w:val="FootnoteReference"/>
          <w:iCs/>
        </w:rPr>
        <w:footnoteReference w:id="40"/>
      </w:r>
      <w:r>
        <w:rPr>
          <w:iCs/>
        </w:rPr>
        <w:t xml:space="preserve">  While the bar committee’s legislative recommendations are usually</w:t>
      </w:r>
      <w:r w:rsidR="00B331A9">
        <w:rPr>
          <w:iCs/>
        </w:rPr>
        <w:t xml:space="preserve"> followed in Delaware</w:t>
      </w:r>
      <w:r>
        <w:rPr>
          <w:iCs/>
        </w:rPr>
        <w:t xml:space="preserve">, the U.S. Chamber </w:t>
      </w:r>
      <w:r w:rsidR="00C90946">
        <w:rPr>
          <w:iCs/>
        </w:rPr>
        <w:t xml:space="preserve">and other business interests </w:t>
      </w:r>
      <w:r>
        <w:rPr>
          <w:iCs/>
        </w:rPr>
        <w:t xml:space="preserve">lobbied against the bill and the Delaware </w:t>
      </w:r>
      <w:r w:rsidR="00C90946">
        <w:rPr>
          <w:iCs/>
        </w:rPr>
        <w:t xml:space="preserve">Governor and </w:t>
      </w:r>
      <w:r>
        <w:rPr>
          <w:iCs/>
        </w:rPr>
        <w:t>legislature deferred action pending further study of the matter.</w:t>
      </w:r>
      <w:r w:rsidR="00C90946">
        <w:rPr>
          <w:rStyle w:val="FootnoteReference"/>
          <w:iCs/>
        </w:rPr>
        <w:footnoteReference w:id="41"/>
      </w:r>
      <w:r>
        <w:rPr>
          <w:iCs/>
        </w:rPr>
        <w:t xml:space="preserve"> </w:t>
      </w:r>
    </w:p>
    <w:p w:rsidR="00134EE9" w:rsidRDefault="002F6A31" w:rsidP="000C46EB">
      <w:pPr>
        <w:overflowPunct w:val="0"/>
        <w:spacing w:line="360" w:lineRule="auto"/>
        <w:ind w:firstLine="720"/>
        <w:textAlignment w:val="baseline"/>
        <w:rPr>
          <w:iCs/>
        </w:rPr>
      </w:pPr>
      <w:r>
        <w:rPr>
          <w:iCs/>
        </w:rPr>
        <w:t xml:space="preserve">The Oklahoma legislature did not wait.  </w:t>
      </w:r>
      <w:r w:rsidR="002409A4">
        <w:rPr>
          <w:iCs/>
        </w:rPr>
        <w:t xml:space="preserve">At least one </w:t>
      </w:r>
      <w:r w:rsidR="00134EE9">
        <w:rPr>
          <w:iCs/>
        </w:rPr>
        <w:t xml:space="preserve">Oklahoma </w:t>
      </w:r>
      <w:proofErr w:type="gramStart"/>
      <w:r w:rsidR="00134EE9">
        <w:rPr>
          <w:iCs/>
        </w:rPr>
        <w:t>corporation</w:t>
      </w:r>
      <w:proofErr w:type="gramEnd"/>
      <w:r w:rsidR="00134EE9">
        <w:rPr>
          <w:iCs/>
        </w:rPr>
        <w:t xml:space="preserve"> </w:t>
      </w:r>
      <w:r>
        <w:rPr>
          <w:iCs/>
        </w:rPr>
        <w:t xml:space="preserve">had experienced </w:t>
      </w:r>
      <w:r w:rsidR="002409A4">
        <w:rPr>
          <w:iCs/>
        </w:rPr>
        <w:t xml:space="preserve">a </w:t>
      </w:r>
      <w:r w:rsidR="00A80188">
        <w:rPr>
          <w:iCs/>
        </w:rPr>
        <w:t>disclosure only settlement</w:t>
      </w:r>
      <w:r>
        <w:rPr>
          <w:iCs/>
        </w:rPr>
        <w:t xml:space="preserve"> and others feared they might.</w:t>
      </w:r>
      <w:r w:rsidR="00C83237">
        <w:rPr>
          <w:rStyle w:val="FootnoteReference"/>
          <w:iCs/>
        </w:rPr>
        <w:footnoteReference w:id="42"/>
      </w:r>
      <w:r>
        <w:rPr>
          <w:iCs/>
        </w:rPr>
        <w:t xml:space="preserve">  </w:t>
      </w:r>
      <w:r w:rsidR="002409A4">
        <w:rPr>
          <w:iCs/>
        </w:rPr>
        <w:t>They pushed for passage of SB 1799</w:t>
      </w:r>
      <w:r w:rsidR="00324BE4">
        <w:rPr>
          <w:iCs/>
        </w:rPr>
        <w:t>, which was adopted and became effective November 1, 2014</w:t>
      </w:r>
      <w:r w:rsidR="002409A4">
        <w:rPr>
          <w:iCs/>
        </w:rPr>
        <w:t xml:space="preserve">.  </w:t>
      </w:r>
      <w:r w:rsidR="00C90946">
        <w:rPr>
          <w:iCs/>
        </w:rPr>
        <w:t xml:space="preserve">The </w:t>
      </w:r>
      <w:r w:rsidR="00324BE4">
        <w:rPr>
          <w:iCs/>
        </w:rPr>
        <w:t xml:space="preserve">prevailing party </w:t>
      </w:r>
      <w:r w:rsidR="00C4186A">
        <w:rPr>
          <w:iCs/>
        </w:rPr>
        <w:t xml:space="preserve">statute </w:t>
      </w:r>
      <w:r w:rsidR="00FE421C">
        <w:rPr>
          <w:iCs/>
        </w:rPr>
        <w:t>applies to all derivative actions, whether settled or adjudicated, and is mandatory.</w:t>
      </w:r>
      <w:r w:rsidR="00FE421C">
        <w:rPr>
          <w:rStyle w:val="FootnoteReference"/>
          <w:iCs/>
        </w:rPr>
        <w:footnoteReference w:id="43"/>
      </w:r>
      <w:r w:rsidR="00FE421C">
        <w:rPr>
          <w:iCs/>
        </w:rPr>
        <w:t xml:space="preserve">  </w:t>
      </w:r>
      <w:r w:rsidR="00C4186A">
        <w:rPr>
          <w:iCs/>
        </w:rPr>
        <w:t xml:space="preserve">The statute </w:t>
      </w:r>
      <w:r w:rsidR="00324BE4">
        <w:rPr>
          <w:iCs/>
        </w:rPr>
        <w:t xml:space="preserve">will most certainly discourage the filing of derivative actions for disclosure only </w:t>
      </w:r>
      <w:r w:rsidR="00095E83">
        <w:rPr>
          <w:iCs/>
        </w:rPr>
        <w:t xml:space="preserve">and other non-monetary </w:t>
      </w:r>
      <w:r w:rsidR="00324BE4">
        <w:rPr>
          <w:iCs/>
        </w:rPr>
        <w:t xml:space="preserve">settlements.  Plaintiffs must risk payment of the corporation’s legal fees for no possibility of monetary gain.  How the </w:t>
      </w:r>
      <w:r w:rsidR="00324BE4">
        <w:rPr>
          <w:iCs/>
        </w:rPr>
        <w:lastRenderedPageBreak/>
        <w:t xml:space="preserve">prevailing party </w:t>
      </w:r>
      <w:r w:rsidR="00C4186A">
        <w:rPr>
          <w:iCs/>
        </w:rPr>
        <w:t xml:space="preserve">statute </w:t>
      </w:r>
      <w:r w:rsidR="00324BE4">
        <w:rPr>
          <w:iCs/>
        </w:rPr>
        <w:t xml:space="preserve">will affect more meritorious derivative actions remains to be seen.  </w:t>
      </w:r>
      <w:r w:rsidR="00095E83">
        <w:rPr>
          <w:iCs/>
        </w:rPr>
        <w:t xml:space="preserve">One might surmise that small shareholders in large corporations would not file an action regardless of its merits when their share of any award is small and their risk of loss is large.  While the upsurge in derivative actions is a phenomenon affecting public corporations, the prevailing party </w:t>
      </w:r>
      <w:r w:rsidR="00C4186A">
        <w:rPr>
          <w:iCs/>
        </w:rPr>
        <w:t xml:space="preserve">statute </w:t>
      </w:r>
      <w:r w:rsidR="00095E83">
        <w:rPr>
          <w:iCs/>
        </w:rPr>
        <w:t>applies to closely held corporations as well.  Shareholders in closely held corporations may have relatively larger ownership interest</w:t>
      </w:r>
      <w:r w:rsidR="00C4186A">
        <w:rPr>
          <w:iCs/>
        </w:rPr>
        <w:t>s</w:t>
      </w:r>
      <w:r w:rsidR="00095E83">
        <w:rPr>
          <w:iCs/>
        </w:rPr>
        <w:t xml:space="preserve"> than the typical </w:t>
      </w:r>
      <w:r w:rsidR="00B12D3D">
        <w:rPr>
          <w:iCs/>
        </w:rPr>
        <w:t xml:space="preserve">shareholders in </w:t>
      </w:r>
      <w:r w:rsidR="00095E83">
        <w:rPr>
          <w:iCs/>
        </w:rPr>
        <w:t>public corporation</w:t>
      </w:r>
      <w:r w:rsidR="00B12D3D">
        <w:rPr>
          <w:iCs/>
        </w:rPr>
        <w:t>s</w:t>
      </w:r>
      <w:r w:rsidR="00095E83">
        <w:rPr>
          <w:iCs/>
        </w:rPr>
        <w:t xml:space="preserve">.  Yet even a larger shareholder might pause before facing all litigation costs.  </w:t>
      </w:r>
      <w:r w:rsidR="00711AAD">
        <w:rPr>
          <w:iCs/>
        </w:rPr>
        <w:t xml:space="preserve">If we find the statute is discouraging meritorious claims as well as the frivolous, further amendments will be necessary.  </w:t>
      </w:r>
      <w:r w:rsidR="00095E83">
        <w:rPr>
          <w:iCs/>
        </w:rPr>
        <w:t>As adopted, SB</w:t>
      </w:r>
      <w:r w:rsidR="003D0766">
        <w:rPr>
          <w:iCs/>
        </w:rPr>
        <w:t> </w:t>
      </w:r>
      <w:r w:rsidR="00095E83">
        <w:rPr>
          <w:iCs/>
        </w:rPr>
        <w:t>1799 applie</w:t>
      </w:r>
      <w:r w:rsidR="003D0766">
        <w:rPr>
          <w:iCs/>
        </w:rPr>
        <w:t>s</w:t>
      </w:r>
      <w:r w:rsidR="00095E83">
        <w:rPr>
          <w:iCs/>
        </w:rPr>
        <w:t xml:space="preserve"> only to corporations and does not affect LLCs or partnerships.  </w:t>
      </w:r>
    </w:p>
    <w:p w:rsidR="00F561E8" w:rsidRDefault="00095E83" w:rsidP="000C46EB">
      <w:pPr>
        <w:overflowPunct w:val="0"/>
        <w:spacing w:line="360" w:lineRule="auto"/>
        <w:ind w:firstLine="720"/>
        <w:textAlignment w:val="baseline"/>
      </w:pPr>
      <w:proofErr w:type="gramStart"/>
      <w:r>
        <w:rPr>
          <w:i/>
          <w:iCs/>
        </w:rPr>
        <w:t xml:space="preserve">House </w:t>
      </w:r>
      <w:r w:rsidRPr="00095E83">
        <w:rPr>
          <w:i/>
          <w:iCs/>
        </w:rPr>
        <w:t>Bill</w:t>
      </w:r>
      <w:r>
        <w:rPr>
          <w:i/>
          <w:iCs/>
        </w:rPr>
        <w:t>s</w:t>
      </w:r>
      <w:r w:rsidRPr="00095E83">
        <w:rPr>
          <w:i/>
          <w:iCs/>
        </w:rPr>
        <w:t> </w:t>
      </w:r>
      <w:r>
        <w:rPr>
          <w:i/>
          <w:iCs/>
        </w:rPr>
        <w:t>1995 and 1996</w:t>
      </w:r>
      <w:r w:rsidR="00691E4B">
        <w:rPr>
          <w:i/>
          <w:iCs/>
        </w:rPr>
        <w:t xml:space="preserve"> </w:t>
      </w:r>
      <w:r w:rsidR="00691E4B">
        <w:rPr>
          <w:i/>
          <w:iCs/>
        </w:rPr>
        <w:noBreakHyphen/>
        <w:t> General</w:t>
      </w:r>
      <w:r>
        <w:rPr>
          <w:iCs/>
        </w:rPr>
        <w:t>.</w:t>
      </w:r>
      <w:proofErr w:type="gramEnd"/>
      <w:r>
        <w:rPr>
          <w:iCs/>
        </w:rPr>
        <w:t xml:space="preserve">  </w:t>
      </w:r>
      <w:r w:rsidR="009D273F" w:rsidRPr="00363BC9">
        <w:rPr>
          <w:iCs/>
        </w:rPr>
        <w:t>T</w:t>
      </w:r>
      <w:r w:rsidR="00993EB2">
        <w:rPr>
          <w:iCs/>
        </w:rPr>
        <w:t>wo bills covering legal entities were carried over from the 2013 session</w:t>
      </w:r>
      <w:r>
        <w:rPr>
          <w:iCs/>
        </w:rPr>
        <w:t xml:space="preserve"> and </w:t>
      </w:r>
      <w:r w:rsidR="00EC499E">
        <w:rPr>
          <w:iCs/>
        </w:rPr>
        <w:t xml:space="preserve">failed to </w:t>
      </w:r>
      <w:r w:rsidR="00993EB2">
        <w:rPr>
          <w:iCs/>
        </w:rPr>
        <w:t xml:space="preserve">pass in </w:t>
      </w:r>
      <w:r w:rsidR="00EC499E">
        <w:rPr>
          <w:iCs/>
        </w:rPr>
        <w:t xml:space="preserve">the </w:t>
      </w:r>
      <w:r w:rsidR="00993EB2">
        <w:rPr>
          <w:iCs/>
        </w:rPr>
        <w:t>2014</w:t>
      </w:r>
      <w:r w:rsidR="00EC499E">
        <w:rPr>
          <w:iCs/>
        </w:rPr>
        <w:t xml:space="preserve"> session</w:t>
      </w:r>
      <w:r w:rsidR="00993EB2">
        <w:rPr>
          <w:iCs/>
        </w:rPr>
        <w:t xml:space="preserve">.  </w:t>
      </w:r>
      <w:r w:rsidR="00F561E8">
        <w:t xml:space="preserve">House Bill 1995 would </w:t>
      </w:r>
      <w:r w:rsidR="00993EB2">
        <w:t xml:space="preserve">have </w:t>
      </w:r>
      <w:r w:rsidR="00F561E8">
        <w:t>update</w:t>
      </w:r>
      <w:r w:rsidR="00993EB2">
        <w:t>d</w:t>
      </w:r>
      <w:r w:rsidR="00F561E8">
        <w:t xml:space="preserve"> the Oklahoma General Corporation Act (the “</w:t>
      </w:r>
      <w:r w:rsidR="00F561E8" w:rsidRPr="00F561E8">
        <w:rPr>
          <w:i/>
        </w:rPr>
        <w:t>OGCA</w:t>
      </w:r>
      <w:r w:rsidR="00F561E8">
        <w:t xml:space="preserve">”) and </w:t>
      </w:r>
      <w:r w:rsidR="00993EB2">
        <w:t xml:space="preserve">the </w:t>
      </w:r>
      <w:r w:rsidR="00F561E8">
        <w:t>Oklahoma Limited Liability Company Act (the “</w:t>
      </w:r>
      <w:r w:rsidR="00F561E8" w:rsidRPr="00F561E8">
        <w:rPr>
          <w:i/>
        </w:rPr>
        <w:t>LLC Act</w:t>
      </w:r>
      <w:r w:rsidR="00F561E8">
        <w:t xml:space="preserve">”).  House Bill 1996 would </w:t>
      </w:r>
      <w:r w:rsidR="00993EB2">
        <w:t xml:space="preserve">have </w:t>
      </w:r>
      <w:r w:rsidR="00F561E8">
        <w:t>adopt</w:t>
      </w:r>
      <w:r w:rsidR="00993EB2">
        <w:t>ed</w:t>
      </w:r>
      <w:r w:rsidR="00F561E8">
        <w:t xml:space="preserve"> the Revised Uniform Unincorporated Nonprofit Associations Act (the “</w:t>
      </w:r>
      <w:r w:rsidR="00F561E8" w:rsidRPr="00F561E8">
        <w:rPr>
          <w:i/>
        </w:rPr>
        <w:t>RUUNAA</w:t>
      </w:r>
      <w:r w:rsidR="00F561E8">
        <w:t xml:space="preserve">”). </w:t>
      </w:r>
    </w:p>
    <w:p w:rsidR="003E3B7F" w:rsidRDefault="009A513A" w:rsidP="00F561E8">
      <w:pPr>
        <w:tabs>
          <w:tab w:val="left" w:pos="3285"/>
        </w:tabs>
        <w:overflowPunct w:val="0"/>
        <w:spacing w:line="360" w:lineRule="auto"/>
        <w:ind w:firstLine="720"/>
        <w:textAlignment w:val="baseline"/>
        <w:rPr>
          <w:rFonts w:eastAsia="Times New Roman"/>
        </w:rPr>
      </w:pPr>
      <w:r>
        <w:rPr>
          <w:i/>
          <w:iCs/>
        </w:rPr>
        <w:noBreakHyphen/>
        <w:t xml:space="preserve"> House </w:t>
      </w:r>
      <w:r w:rsidRPr="00095E83">
        <w:rPr>
          <w:i/>
          <w:iCs/>
        </w:rPr>
        <w:t>Bill </w:t>
      </w:r>
      <w:r>
        <w:rPr>
          <w:i/>
          <w:iCs/>
        </w:rPr>
        <w:t xml:space="preserve">1995 </w:t>
      </w:r>
      <w:r>
        <w:rPr>
          <w:i/>
          <w:iCs/>
        </w:rPr>
        <w:noBreakHyphen/>
        <w:t> General</w:t>
      </w:r>
      <w:r>
        <w:rPr>
          <w:iCs/>
        </w:rPr>
        <w:t xml:space="preserve">.  </w:t>
      </w:r>
      <w:r w:rsidR="00F561E8">
        <w:t>House Bill</w:t>
      </w:r>
      <w:r w:rsidR="00F561E8">
        <w:rPr>
          <w:b/>
        </w:rPr>
        <w:t> </w:t>
      </w:r>
      <w:r w:rsidR="00F561E8">
        <w:t xml:space="preserve">1995 </w:t>
      </w:r>
      <w:r w:rsidR="003A494F">
        <w:t>was</w:t>
      </w:r>
      <w:r w:rsidR="00F561E8">
        <w:t xml:space="preserve"> </w:t>
      </w:r>
      <w:r w:rsidR="003E3B7F">
        <w:t xml:space="preserve">an extensive bill covering over 300 pages and </w:t>
      </w:r>
      <w:r w:rsidR="003E3B7F" w:rsidRPr="00AB5193">
        <w:rPr>
          <w:rFonts w:eastAsia="Times New Roman"/>
        </w:rPr>
        <w:t xml:space="preserve">designed to maintain the </w:t>
      </w:r>
      <w:r w:rsidR="003E3B7F">
        <w:rPr>
          <w:rFonts w:eastAsia="Times New Roman"/>
        </w:rPr>
        <w:t>OGCA and LLC Act.</w:t>
      </w:r>
      <w:r w:rsidR="003E3B7F">
        <w:rPr>
          <w:rStyle w:val="FootnoteReference"/>
          <w:rFonts w:eastAsia="Times New Roman"/>
        </w:rPr>
        <w:footnoteReference w:id="44"/>
      </w:r>
      <w:r w:rsidR="003E3B7F">
        <w:rPr>
          <w:rFonts w:eastAsia="Times New Roman"/>
        </w:rPr>
        <w:t xml:space="preserve">  </w:t>
      </w:r>
      <w:r w:rsidR="003E3B7F" w:rsidRPr="003E3B7F">
        <w:rPr>
          <w:rFonts w:eastAsia="Times New Roman"/>
        </w:rPr>
        <w:t xml:space="preserve">The </w:t>
      </w:r>
      <w:r w:rsidR="003E3B7F">
        <w:rPr>
          <w:rFonts w:eastAsia="Times New Roman"/>
        </w:rPr>
        <w:t xml:space="preserve">most significant changes in the bill </w:t>
      </w:r>
      <w:r w:rsidR="00273C86">
        <w:t xml:space="preserve">would </w:t>
      </w:r>
      <w:r w:rsidR="00EC499E">
        <w:t xml:space="preserve">have </w:t>
      </w:r>
      <w:r w:rsidR="00273C86">
        <w:t>implement</w:t>
      </w:r>
      <w:r w:rsidR="00EC499E">
        <w:t>ed</w:t>
      </w:r>
      <w:r w:rsidR="00273C86">
        <w:t xml:space="preserve"> </w:t>
      </w:r>
      <w:r w:rsidR="00F727BB">
        <w:t xml:space="preserve">in Oklahoma </w:t>
      </w:r>
      <w:r w:rsidR="00273C86">
        <w:t xml:space="preserve">amendments </w:t>
      </w:r>
      <w:r w:rsidR="0034259B">
        <w:t xml:space="preserve">to </w:t>
      </w:r>
      <w:r w:rsidR="0034259B" w:rsidRPr="003E3B7F">
        <w:rPr>
          <w:rFonts w:eastAsia="Times New Roman"/>
        </w:rPr>
        <w:t>the Delaware General Corporation Law (“</w:t>
      </w:r>
      <w:r w:rsidR="0034259B" w:rsidRPr="00273C86">
        <w:rPr>
          <w:rFonts w:eastAsia="Times New Roman"/>
          <w:i/>
        </w:rPr>
        <w:t>DGCL</w:t>
      </w:r>
      <w:r w:rsidR="0034259B" w:rsidRPr="003E3B7F">
        <w:rPr>
          <w:rFonts w:eastAsia="Times New Roman"/>
        </w:rPr>
        <w:t xml:space="preserve">”) </w:t>
      </w:r>
      <w:r w:rsidR="00273C86">
        <w:t>for non-profit corporations</w:t>
      </w:r>
      <w:r w:rsidR="003A494F">
        <w:t xml:space="preserve"> and public benefit corporations</w:t>
      </w:r>
      <w:r w:rsidR="00273C86">
        <w:t>.</w:t>
      </w:r>
      <w:r w:rsidR="0034259B" w:rsidRPr="003E3B7F">
        <w:rPr>
          <w:rFonts w:eastAsia="Times New Roman"/>
          <w:sz w:val="20"/>
          <w:vertAlign w:val="superscript"/>
        </w:rPr>
        <w:footnoteReference w:id="45"/>
      </w:r>
      <w:r w:rsidR="00273C86">
        <w:t xml:space="preserve"> </w:t>
      </w:r>
      <w:r w:rsidR="0034259B">
        <w:t xml:space="preserve"> </w:t>
      </w:r>
      <w:r w:rsidR="00273C86">
        <w:t xml:space="preserve">Other changes in the bill </w:t>
      </w:r>
      <w:r w:rsidR="00EC499E">
        <w:t xml:space="preserve">would have </w:t>
      </w:r>
      <w:r w:rsidR="003A494F">
        <w:t>provide</w:t>
      </w:r>
      <w:r w:rsidR="00EC499E">
        <w:t>d</w:t>
      </w:r>
      <w:r w:rsidR="003A494F">
        <w:t xml:space="preserve"> for the ratification of defective corporation acts, </w:t>
      </w:r>
      <w:r w:rsidR="00EC499E">
        <w:t>affirmed that an LLC</w:t>
      </w:r>
      <w:r w:rsidR="004510EE">
        <w:t>’</w:t>
      </w:r>
      <w:r w:rsidR="00EC499E">
        <w:t xml:space="preserve">s tax status does not affect its status as a </w:t>
      </w:r>
      <w:r w:rsidR="00EC499E">
        <w:lastRenderedPageBreak/>
        <w:t>legal entity, and affirmed that the fiduciary duties appl</w:t>
      </w:r>
      <w:r w:rsidR="004510EE">
        <w:t>icable</w:t>
      </w:r>
      <w:r w:rsidR="00EC499E">
        <w:t xml:space="preserve"> to corporate directors and officers also apply to LLC managers.  </w:t>
      </w:r>
    </w:p>
    <w:p w:rsidR="003E3B7F" w:rsidRDefault="003E3B7F" w:rsidP="00F561E8">
      <w:pPr>
        <w:tabs>
          <w:tab w:val="left" w:pos="3285"/>
        </w:tabs>
        <w:overflowPunct w:val="0"/>
        <w:spacing w:line="360" w:lineRule="auto"/>
        <w:ind w:firstLine="720"/>
        <w:textAlignment w:val="baseline"/>
        <w:rPr>
          <w:szCs w:val="24"/>
        </w:rPr>
      </w:pPr>
      <w:r w:rsidRPr="003E3B7F">
        <w:rPr>
          <w:i/>
        </w:rPr>
        <w:noBreakHyphen/>
        <w:t xml:space="preserve"> Non-Profit Corporation Provisions</w:t>
      </w:r>
      <w:r>
        <w:t xml:space="preserve">.  </w:t>
      </w:r>
      <w:r w:rsidR="0062433E">
        <w:rPr>
          <w:szCs w:val="24"/>
        </w:rPr>
        <w:t xml:space="preserve">The OGCA covers both for-profit and </w:t>
      </w:r>
      <w:r w:rsidR="0062433E" w:rsidRPr="008231FD">
        <w:rPr>
          <w:szCs w:val="24"/>
        </w:rPr>
        <w:t xml:space="preserve">non-profit corporations within </w:t>
      </w:r>
      <w:r w:rsidR="0062433E">
        <w:rPr>
          <w:szCs w:val="24"/>
        </w:rPr>
        <w:t>its</w:t>
      </w:r>
      <w:r w:rsidR="0062433E" w:rsidRPr="008231FD">
        <w:rPr>
          <w:szCs w:val="24"/>
        </w:rPr>
        <w:t xml:space="preserve"> scope</w:t>
      </w:r>
      <w:r w:rsidR="0062433E">
        <w:rPr>
          <w:szCs w:val="24"/>
        </w:rPr>
        <w:t>.</w:t>
      </w:r>
      <w:r w:rsidR="0062433E" w:rsidRPr="008231FD">
        <w:rPr>
          <w:szCs w:val="24"/>
        </w:rPr>
        <w:t xml:space="preserve">  </w:t>
      </w:r>
      <w:r w:rsidR="0062433E">
        <w:rPr>
          <w:szCs w:val="24"/>
        </w:rPr>
        <w:t xml:space="preserve">Before these changes – which are largely draw from changes to the DGCL </w:t>
      </w:r>
      <w:r w:rsidR="0062433E">
        <w:rPr>
          <w:szCs w:val="24"/>
        </w:rPr>
        <w:noBreakHyphen/>
        <w:t xml:space="preserve"> </w:t>
      </w:r>
      <w:r w:rsidR="0062433E" w:rsidRPr="008231FD">
        <w:rPr>
          <w:szCs w:val="24"/>
        </w:rPr>
        <w:t>application of the OGCA to non-profit corporations was unclear in many instances.  The comprehensive changes in the proposed amendments w</w:t>
      </w:r>
      <w:r w:rsidR="00F727BB">
        <w:rPr>
          <w:szCs w:val="24"/>
        </w:rPr>
        <w:t xml:space="preserve">ould </w:t>
      </w:r>
      <w:r w:rsidR="0062433E" w:rsidRPr="008231FD">
        <w:rPr>
          <w:szCs w:val="24"/>
        </w:rPr>
        <w:t xml:space="preserve">fill in the statutory gaps and bring better clarity to non-profit corporations. </w:t>
      </w:r>
      <w:r w:rsidR="0062433E">
        <w:rPr>
          <w:szCs w:val="24"/>
        </w:rPr>
        <w:t xml:space="preserve"> </w:t>
      </w:r>
    </w:p>
    <w:p w:rsidR="0062433E" w:rsidRDefault="0062433E" w:rsidP="00F561E8">
      <w:pPr>
        <w:tabs>
          <w:tab w:val="left" w:pos="3285"/>
        </w:tabs>
        <w:overflowPunct w:val="0"/>
        <w:spacing w:line="360" w:lineRule="auto"/>
        <w:ind w:firstLine="720"/>
        <w:textAlignment w:val="baseline"/>
      </w:pPr>
      <w:r w:rsidRPr="00E045C5">
        <w:rPr>
          <w:szCs w:val="24"/>
        </w:rPr>
        <w:t xml:space="preserve">The clarifying amendments </w:t>
      </w:r>
      <w:r w:rsidR="00F727BB">
        <w:rPr>
          <w:szCs w:val="24"/>
        </w:rPr>
        <w:t xml:space="preserve">would </w:t>
      </w:r>
      <w:r w:rsidRPr="00E045C5">
        <w:rPr>
          <w:szCs w:val="24"/>
        </w:rPr>
        <w:t xml:space="preserve">begin with a new </w:t>
      </w:r>
      <w:r>
        <w:rPr>
          <w:szCs w:val="24"/>
        </w:rPr>
        <w:t>s</w:t>
      </w:r>
      <w:r w:rsidRPr="00E045C5">
        <w:rPr>
          <w:szCs w:val="24"/>
        </w:rPr>
        <w:t>ection</w:t>
      </w:r>
      <w:r>
        <w:rPr>
          <w:szCs w:val="24"/>
        </w:rPr>
        <w:t xml:space="preserve"> that </w:t>
      </w:r>
      <w:r w:rsidRPr="00E045C5">
        <w:rPr>
          <w:szCs w:val="24"/>
        </w:rPr>
        <w:t>“translates” the terms of the OGCA as they apply to nonstock corporations.  For example, while the OGCA provides that a stock corporation has “shareholders” and a “board of directors”</w:t>
      </w:r>
      <w:proofErr w:type="gramStart"/>
      <w:r w:rsidRPr="00E045C5">
        <w:rPr>
          <w:szCs w:val="24"/>
        </w:rPr>
        <w:t>,</w:t>
      </w:r>
      <w:proofErr w:type="gramEnd"/>
      <w:r w:rsidRPr="00E045C5">
        <w:rPr>
          <w:szCs w:val="24"/>
        </w:rPr>
        <w:t xml:space="preserve"> </w:t>
      </w:r>
      <w:r>
        <w:rPr>
          <w:szCs w:val="24"/>
        </w:rPr>
        <w:t>the new s</w:t>
      </w:r>
      <w:r w:rsidRPr="00E045C5">
        <w:rPr>
          <w:szCs w:val="24"/>
        </w:rPr>
        <w:t xml:space="preserve">ection translates those terms </w:t>
      </w:r>
      <w:r>
        <w:rPr>
          <w:szCs w:val="24"/>
        </w:rPr>
        <w:t>as</w:t>
      </w:r>
      <w:r w:rsidRPr="00E045C5">
        <w:rPr>
          <w:szCs w:val="24"/>
        </w:rPr>
        <w:t xml:space="preserve"> </w:t>
      </w:r>
      <w:r>
        <w:rPr>
          <w:szCs w:val="24"/>
        </w:rPr>
        <w:t xml:space="preserve">the </w:t>
      </w:r>
      <w:r w:rsidRPr="00E045C5">
        <w:rPr>
          <w:szCs w:val="24"/>
        </w:rPr>
        <w:t>“members” and “governing body” of the non</w:t>
      </w:r>
      <w:r>
        <w:rPr>
          <w:szCs w:val="24"/>
        </w:rPr>
        <w:t>-profit</w:t>
      </w:r>
      <w:r w:rsidRPr="00E045C5">
        <w:rPr>
          <w:szCs w:val="24"/>
        </w:rPr>
        <w:t xml:space="preserve"> corporation.  </w:t>
      </w:r>
      <w:r>
        <w:rPr>
          <w:szCs w:val="24"/>
        </w:rPr>
        <w:t>R</w:t>
      </w:r>
      <w:r w:rsidRPr="00E045C5">
        <w:rPr>
          <w:szCs w:val="24"/>
        </w:rPr>
        <w:t xml:space="preserve">eferences to “stock” </w:t>
      </w:r>
      <w:r>
        <w:rPr>
          <w:szCs w:val="24"/>
        </w:rPr>
        <w:t xml:space="preserve">become </w:t>
      </w:r>
      <w:r w:rsidRPr="00E045C5">
        <w:rPr>
          <w:szCs w:val="24"/>
        </w:rPr>
        <w:t>“memberships”</w:t>
      </w:r>
      <w:r>
        <w:rPr>
          <w:szCs w:val="24"/>
        </w:rPr>
        <w:t>.  This section also identifies the OGCA sections that will not apply to non-profit corporations, such as those dealing with capital and surplus.</w:t>
      </w:r>
      <w:r w:rsidRPr="00E045C5">
        <w:rPr>
          <w:szCs w:val="24"/>
        </w:rPr>
        <w:t xml:space="preserve"> </w:t>
      </w:r>
      <w:r w:rsidR="0004421A">
        <w:rPr>
          <w:szCs w:val="24"/>
        </w:rPr>
        <w:t xml:space="preserve"> </w:t>
      </w:r>
      <w:r>
        <w:rPr>
          <w:szCs w:val="24"/>
        </w:rPr>
        <w:t xml:space="preserve">Other sections </w:t>
      </w:r>
      <w:r w:rsidR="0061277E">
        <w:rPr>
          <w:szCs w:val="24"/>
        </w:rPr>
        <w:t xml:space="preserve">would be </w:t>
      </w:r>
      <w:r>
        <w:rPr>
          <w:szCs w:val="24"/>
        </w:rPr>
        <w:t xml:space="preserve">changed to </w:t>
      </w:r>
      <w:r w:rsidRPr="00A50F7B">
        <w:rPr>
          <w:szCs w:val="24"/>
        </w:rPr>
        <w:t>clarify the procedures for setting record dates, the calling of special meetings of members and the required vote that must be obtained for corporate action.  These clarifications make it easier for nonstock corporations to take action and deal with corporate governance matters.</w:t>
      </w:r>
    </w:p>
    <w:p w:rsidR="00C063AA" w:rsidRDefault="0062433E" w:rsidP="00C063AA">
      <w:pPr>
        <w:overflowPunct w:val="0"/>
        <w:spacing w:line="360" w:lineRule="auto"/>
        <w:ind w:firstLine="720"/>
        <w:textAlignment w:val="baseline"/>
        <w:rPr>
          <w:rFonts w:eastAsia="Times New Roman"/>
          <w:szCs w:val="24"/>
        </w:rPr>
      </w:pPr>
      <w:r w:rsidRPr="003E3B7F">
        <w:rPr>
          <w:i/>
        </w:rPr>
        <w:noBreakHyphen/>
        <w:t xml:space="preserve"> </w:t>
      </w:r>
      <w:r w:rsidR="00DE0437" w:rsidRPr="00643BF0">
        <w:rPr>
          <w:rFonts w:eastAsia="Times New Roman"/>
          <w:i/>
        </w:rPr>
        <w:t>Benefit Corporations</w:t>
      </w:r>
      <w:r w:rsidR="00DE0437">
        <w:rPr>
          <w:rFonts w:eastAsia="Times New Roman"/>
        </w:rPr>
        <w:t xml:space="preserve">. </w:t>
      </w:r>
      <w:r w:rsidR="00DE0437" w:rsidRPr="00363BC9">
        <w:rPr>
          <w:rFonts w:eastAsia="Times New Roman"/>
        </w:rPr>
        <w:t xml:space="preserve"> </w:t>
      </w:r>
      <w:r w:rsidR="00EC499E">
        <w:rPr>
          <w:rFonts w:eastAsia="Times New Roman"/>
        </w:rPr>
        <w:t xml:space="preserve">We have previously </w:t>
      </w:r>
      <w:r w:rsidR="00DE0437">
        <w:rPr>
          <w:rFonts w:eastAsia="Times New Roman"/>
        </w:rPr>
        <w:t>discussed the trending development of benefit corporations.</w:t>
      </w:r>
      <w:r w:rsidR="00DE0437">
        <w:rPr>
          <w:rStyle w:val="FootnoteReference"/>
          <w:rFonts w:eastAsia="Times New Roman"/>
        </w:rPr>
        <w:footnoteReference w:id="46"/>
      </w:r>
      <w:r w:rsidR="00DE0437">
        <w:rPr>
          <w:rFonts w:eastAsia="Times New Roman"/>
        </w:rPr>
        <w:t xml:space="preserve">  </w:t>
      </w:r>
      <w:r w:rsidR="00DE0437" w:rsidRPr="00363BC9">
        <w:rPr>
          <w:rFonts w:eastAsia="Times New Roman"/>
        </w:rPr>
        <w:t xml:space="preserve">These are </w:t>
      </w:r>
      <w:r w:rsidR="00DE0437">
        <w:rPr>
          <w:rFonts w:eastAsia="Times New Roman"/>
        </w:rPr>
        <w:t xml:space="preserve">for-profit corporations that combine an explicit public benefit with a for-profit business activity.  </w:t>
      </w:r>
      <w:r w:rsidR="00EC499E">
        <w:rPr>
          <w:rFonts w:eastAsia="Times New Roman"/>
          <w:szCs w:val="24"/>
        </w:rPr>
        <w:t>Delaware adopted “public benefit corporation” statutes in 2013.</w:t>
      </w:r>
      <w:r w:rsidR="00EC499E">
        <w:rPr>
          <w:rStyle w:val="FootnoteReference"/>
          <w:rFonts w:eastAsia="Times New Roman"/>
          <w:szCs w:val="24"/>
        </w:rPr>
        <w:footnoteReference w:id="47"/>
      </w:r>
      <w:r w:rsidR="00EC499E">
        <w:rPr>
          <w:rFonts w:eastAsia="Times New Roman"/>
          <w:szCs w:val="24"/>
        </w:rPr>
        <w:t xml:space="preserve">  </w:t>
      </w:r>
      <w:r w:rsidR="00934902">
        <w:rPr>
          <w:rFonts w:eastAsia="Times New Roman"/>
          <w:szCs w:val="24"/>
        </w:rPr>
        <w:t>House Bill</w:t>
      </w:r>
      <w:r w:rsidR="00C063AA">
        <w:rPr>
          <w:rFonts w:eastAsia="Times New Roman"/>
          <w:szCs w:val="24"/>
        </w:rPr>
        <w:t xml:space="preserve"> 1995 would have brought the Delaware public benefit corporation statutes to Oklahoma. </w:t>
      </w:r>
    </w:p>
    <w:p w:rsidR="00DE0437" w:rsidRPr="006F6151" w:rsidRDefault="00C063AA" w:rsidP="00DE0437">
      <w:pPr>
        <w:overflowPunct w:val="0"/>
        <w:spacing w:line="360" w:lineRule="auto"/>
        <w:ind w:firstLine="720"/>
        <w:textAlignment w:val="baseline"/>
        <w:rPr>
          <w:rFonts w:eastAsia="Times New Roman"/>
          <w:szCs w:val="24"/>
        </w:rPr>
      </w:pPr>
      <w:r>
        <w:rPr>
          <w:szCs w:val="24"/>
          <w:shd w:val="clear" w:color="auto" w:fill="FFFFFF"/>
        </w:rPr>
        <w:t xml:space="preserve">A </w:t>
      </w:r>
      <w:r w:rsidR="00DE0437">
        <w:rPr>
          <w:szCs w:val="24"/>
          <w:shd w:val="clear" w:color="auto" w:fill="FFFFFF"/>
        </w:rPr>
        <w:t>public benefit corporation elect</w:t>
      </w:r>
      <w:r w:rsidR="00261E45">
        <w:rPr>
          <w:szCs w:val="24"/>
          <w:shd w:val="clear" w:color="auto" w:fill="FFFFFF"/>
        </w:rPr>
        <w:t>s</w:t>
      </w:r>
      <w:r w:rsidR="00DE0437">
        <w:rPr>
          <w:szCs w:val="24"/>
          <w:shd w:val="clear" w:color="auto" w:fill="FFFFFF"/>
        </w:rPr>
        <w:t xml:space="preserve"> “to operate in a responsible and sustainable manner” and identif</w:t>
      </w:r>
      <w:r w:rsidR="00261E45">
        <w:rPr>
          <w:szCs w:val="24"/>
          <w:shd w:val="clear" w:color="auto" w:fill="FFFFFF"/>
        </w:rPr>
        <w:t>ies</w:t>
      </w:r>
      <w:r w:rsidR="00DE0437">
        <w:rPr>
          <w:szCs w:val="24"/>
          <w:shd w:val="clear" w:color="auto" w:fill="FFFFFF"/>
        </w:rPr>
        <w:t xml:space="preserve"> a specific public benefit purpose.</w:t>
      </w:r>
      <w:r w:rsidR="00DE0437">
        <w:rPr>
          <w:rStyle w:val="FootnoteReference"/>
          <w:szCs w:val="24"/>
          <w:shd w:val="clear" w:color="auto" w:fill="FFFFFF"/>
        </w:rPr>
        <w:footnoteReference w:id="48"/>
      </w:r>
      <w:r w:rsidR="00DE0437">
        <w:rPr>
          <w:szCs w:val="24"/>
          <w:shd w:val="clear" w:color="auto" w:fill="FFFFFF"/>
        </w:rPr>
        <w:t xml:space="preserve">  In decision-making, the </w:t>
      </w:r>
      <w:r w:rsidR="00DE0437">
        <w:rPr>
          <w:rFonts w:eastAsia="Times New Roman"/>
          <w:szCs w:val="24"/>
        </w:rPr>
        <w:lastRenderedPageBreak/>
        <w:t xml:space="preserve">directors must balance the economic interests of the shareholders with the best interests of those affected by the corporation’s conduct and the specific public benefit.  At least biannually, the directors </w:t>
      </w:r>
      <w:r>
        <w:rPr>
          <w:rFonts w:eastAsia="Times New Roman"/>
          <w:szCs w:val="24"/>
        </w:rPr>
        <w:t xml:space="preserve">would </w:t>
      </w:r>
      <w:r w:rsidR="00DE0437">
        <w:rPr>
          <w:rFonts w:eastAsia="Times New Roman"/>
          <w:szCs w:val="24"/>
        </w:rPr>
        <w:t xml:space="preserve">report to the shareholders about the corporation’s social and environmental impact and its pursuit of the specific public benefit. </w:t>
      </w:r>
    </w:p>
    <w:p w:rsidR="003E3B7F" w:rsidRDefault="003E3B7F" w:rsidP="00F561E8">
      <w:pPr>
        <w:tabs>
          <w:tab w:val="left" w:pos="3285"/>
        </w:tabs>
        <w:overflowPunct w:val="0"/>
        <w:spacing w:line="360" w:lineRule="auto"/>
        <w:ind w:firstLine="720"/>
        <w:textAlignment w:val="baseline"/>
        <w:rPr>
          <w:szCs w:val="24"/>
        </w:rPr>
      </w:pPr>
      <w:r w:rsidRPr="003E3B7F">
        <w:rPr>
          <w:i/>
        </w:rPr>
        <w:noBreakHyphen/>
        <w:t xml:space="preserve"> </w:t>
      </w:r>
      <w:r w:rsidR="00D37568">
        <w:rPr>
          <w:i/>
        </w:rPr>
        <w:t>Fixing Defective Corporate Acts</w:t>
      </w:r>
      <w:r>
        <w:t>.</w:t>
      </w:r>
      <w:r w:rsidR="0062433E" w:rsidRPr="0062433E">
        <w:rPr>
          <w:szCs w:val="24"/>
        </w:rPr>
        <w:t xml:space="preserve"> </w:t>
      </w:r>
      <w:r w:rsidR="0062433E">
        <w:rPr>
          <w:szCs w:val="24"/>
        </w:rPr>
        <w:t xml:space="preserve"> </w:t>
      </w:r>
      <w:r w:rsidR="00D37568">
        <w:rPr>
          <w:bCs/>
          <w:szCs w:val="24"/>
          <w:shd w:val="clear" w:color="auto" w:fill="FFFFFF"/>
        </w:rPr>
        <w:t xml:space="preserve">The OGCA has no </w:t>
      </w:r>
      <w:r w:rsidR="00D37568" w:rsidRPr="00EB4C59">
        <w:t xml:space="preserve">procedure for </w:t>
      </w:r>
      <w:r w:rsidR="00D37568">
        <w:t xml:space="preserve">fixing </w:t>
      </w:r>
      <w:r w:rsidR="00D37568" w:rsidRPr="00EB4C59">
        <w:t>defective corporate acts.  If a corporation fail</w:t>
      </w:r>
      <w:r w:rsidR="00D37568">
        <w:t>s</w:t>
      </w:r>
      <w:r w:rsidR="00D37568" w:rsidRPr="00EB4C59">
        <w:t xml:space="preserve"> to follow the statutory procedures</w:t>
      </w:r>
      <w:r w:rsidR="00FC4A1B">
        <w:t xml:space="preserve"> </w:t>
      </w:r>
      <w:r w:rsidR="00D37568" w:rsidRPr="00EB4C59">
        <w:t>– regardless of whether any harm resulted from the failure – it c</w:t>
      </w:r>
      <w:r w:rsidR="00D37568">
        <w:t>annot</w:t>
      </w:r>
      <w:r w:rsidR="00D37568" w:rsidRPr="00EB4C59">
        <w:t xml:space="preserve"> fix the defective act.  </w:t>
      </w:r>
      <w:r w:rsidR="00D37568">
        <w:t xml:space="preserve">The amendments would have permitted a board of directors to ratify a defective act.  If the act </w:t>
      </w:r>
      <w:r w:rsidR="00D37568" w:rsidRPr="00EB4C59">
        <w:rPr>
          <w:bCs/>
        </w:rPr>
        <w:t>would have required shareholder approval, the shareholder</w:t>
      </w:r>
      <w:r w:rsidR="00D37568">
        <w:rPr>
          <w:bCs/>
        </w:rPr>
        <w:t>s</w:t>
      </w:r>
      <w:r w:rsidR="00D37568" w:rsidRPr="00EB4C59">
        <w:rPr>
          <w:bCs/>
        </w:rPr>
        <w:t xml:space="preserve"> </w:t>
      </w:r>
      <w:r w:rsidR="00D37568">
        <w:rPr>
          <w:bCs/>
        </w:rPr>
        <w:t xml:space="preserve">would approve the </w:t>
      </w:r>
      <w:r w:rsidR="00D37568" w:rsidRPr="00EB4C59">
        <w:rPr>
          <w:bCs/>
        </w:rPr>
        <w:t xml:space="preserve">ratification.  </w:t>
      </w:r>
      <w:r w:rsidR="00D37568">
        <w:rPr>
          <w:bCs/>
        </w:rPr>
        <w:t>The amendments would have also provide</w:t>
      </w:r>
      <w:r w:rsidR="00FC4A1B">
        <w:rPr>
          <w:bCs/>
        </w:rPr>
        <w:t>d</w:t>
      </w:r>
      <w:r w:rsidR="00D37568">
        <w:rPr>
          <w:bCs/>
        </w:rPr>
        <w:t xml:space="preserve"> for judicial review of the act and ratification and </w:t>
      </w:r>
      <w:r w:rsidR="00FC4A1B">
        <w:rPr>
          <w:bCs/>
        </w:rPr>
        <w:t xml:space="preserve">would have </w:t>
      </w:r>
      <w:r w:rsidR="00D37568">
        <w:rPr>
          <w:bCs/>
        </w:rPr>
        <w:t>empower</w:t>
      </w:r>
      <w:r w:rsidR="00FC4A1B">
        <w:rPr>
          <w:bCs/>
        </w:rPr>
        <w:t>ed</w:t>
      </w:r>
      <w:r w:rsidR="00D37568">
        <w:rPr>
          <w:bCs/>
        </w:rPr>
        <w:t xml:space="preserve"> the court to order additional steps to fix the defective act.  The amendments were patterned upon DGCL changes in 2013.</w:t>
      </w:r>
    </w:p>
    <w:p w:rsidR="00D37568" w:rsidRDefault="00D37568" w:rsidP="00D37568">
      <w:pPr>
        <w:tabs>
          <w:tab w:val="left" w:pos="3285"/>
        </w:tabs>
        <w:overflowPunct w:val="0"/>
        <w:spacing w:line="360" w:lineRule="auto"/>
        <w:ind w:firstLine="720"/>
        <w:textAlignment w:val="baseline"/>
        <w:rPr>
          <w:szCs w:val="24"/>
        </w:rPr>
      </w:pPr>
      <w:r>
        <w:rPr>
          <w:i/>
          <w:szCs w:val="24"/>
        </w:rPr>
        <w:noBreakHyphen/>
        <w:t xml:space="preserve"> </w:t>
      </w:r>
      <w:r w:rsidRPr="00D37568">
        <w:rPr>
          <w:i/>
          <w:szCs w:val="24"/>
        </w:rPr>
        <w:t xml:space="preserve">Fiduciary </w:t>
      </w:r>
      <w:r>
        <w:rPr>
          <w:i/>
          <w:szCs w:val="24"/>
        </w:rPr>
        <w:t>D</w:t>
      </w:r>
      <w:r w:rsidRPr="00D37568">
        <w:rPr>
          <w:i/>
          <w:szCs w:val="24"/>
        </w:rPr>
        <w:t xml:space="preserve">uties for LLC </w:t>
      </w:r>
      <w:r>
        <w:rPr>
          <w:i/>
          <w:szCs w:val="24"/>
        </w:rPr>
        <w:t>M</w:t>
      </w:r>
      <w:r w:rsidRPr="00D37568">
        <w:rPr>
          <w:i/>
          <w:szCs w:val="24"/>
        </w:rPr>
        <w:t>anagers</w:t>
      </w:r>
      <w:r w:rsidRPr="003B514A">
        <w:rPr>
          <w:szCs w:val="24"/>
        </w:rPr>
        <w:t xml:space="preserve">.  </w:t>
      </w:r>
      <w:r>
        <w:rPr>
          <w:szCs w:val="24"/>
        </w:rPr>
        <w:t>Some legal commentary has questioned whether the common law fiduciary duties owed by corporate directors, officers and shareholders also apply to LLC managers and members.</w:t>
      </w:r>
      <w:r w:rsidR="0008377E">
        <w:rPr>
          <w:rStyle w:val="FootnoteReference"/>
          <w:szCs w:val="24"/>
        </w:rPr>
        <w:footnoteReference w:id="49"/>
      </w:r>
      <w:r>
        <w:rPr>
          <w:szCs w:val="24"/>
        </w:rPr>
        <w:t xml:space="preserve">  </w:t>
      </w:r>
      <w:r w:rsidR="00934902">
        <w:rPr>
          <w:szCs w:val="24"/>
        </w:rPr>
        <w:t>House Bill </w:t>
      </w:r>
      <w:r>
        <w:rPr>
          <w:szCs w:val="24"/>
        </w:rPr>
        <w:t xml:space="preserve">1995 would have amended the LLC Act to clarify that fiduciary duties applicable to corporations would also apply to LLCs.  </w:t>
      </w:r>
    </w:p>
    <w:p w:rsidR="001C0913" w:rsidRDefault="00E96F61" w:rsidP="000C46EB">
      <w:pPr>
        <w:overflowPunct w:val="0"/>
        <w:spacing w:line="360" w:lineRule="auto"/>
        <w:ind w:firstLine="720"/>
        <w:textAlignment w:val="baseline"/>
      </w:pPr>
      <w:r>
        <w:rPr>
          <w:i/>
          <w:szCs w:val="24"/>
        </w:rPr>
        <w:noBreakHyphen/>
        <w:t xml:space="preserve"> </w:t>
      </w:r>
      <w:r w:rsidR="00F561E8" w:rsidRPr="00F561E8">
        <w:rPr>
          <w:i/>
        </w:rPr>
        <w:t>House Bill 199</w:t>
      </w:r>
      <w:r w:rsidR="00F561E8">
        <w:rPr>
          <w:i/>
        </w:rPr>
        <w:t>6</w:t>
      </w:r>
      <w:r w:rsidR="00F561E8">
        <w:t xml:space="preserve">.  The Revised Uniform Unincorporated Nonprofit Associations Act </w:t>
      </w:r>
      <w:r w:rsidR="001C0913">
        <w:t>(the “</w:t>
      </w:r>
      <w:r w:rsidR="001C0913" w:rsidRPr="001C0913">
        <w:rPr>
          <w:i/>
        </w:rPr>
        <w:t>RUUNAA</w:t>
      </w:r>
      <w:r w:rsidR="001C0913">
        <w:t xml:space="preserve">”) </w:t>
      </w:r>
      <w:r w:rsidR="00F561E8">
        <w:t>would fill a statutory void in the law dealing with unincorporated associations.</w:t>
      </w:r>
      <w:r w:rsidR="003E3B7F">
        <w:rPr>
          <w:rStyle w:val="FootnoteReference"/>
        </w:rPr>
        <w:footnoteReference w:id="50"/>
      </w:r>
      <w:r w:rsidR="00F561E8">
        <w:t xml:space="preserve">  Oklahoma has no statutory framework for these voluntary associations, which are generally small volunteer organizations such as church groups, youth organizations, neighborhood associations and garden clubs.  Their legal status and that of their members is uncertain.  Their members can face liability for the obligations of the </w:t>
      </w:r>
      <w:r w:rsidR="00F561E8">
        <w:lastRenderedPageBreak/>
        <w:t xml:space="preserve">association.  They may have difficulty opening bank accounts.  They cannot own real property.  </w:t>
      </w:r>
    </w:p>
    <w:p w:rsidR="00F561E8" w:rsidRDefault="001C0913" w:rsidP="000C46EB">
      <w:pPr>
        <w:overflowPunct w:val="0"/>
        <w:spacing w:line="360" w:lineRule="auto"/>
        <w:ind w:firstLine="720"/>
        <w:textAlignment w:val="baseline"/>
        <w:rPr>
          <w:szCs w:val="24"/>
        </w:rPr>
      </w:pPr>
      <w:r>
        <w:t xml:space="preserve">The </w:t>
      </w:r>
      <w:r w:rsidRPr="001C0913">
        <w:t>RUUNAA</w:t>
      </w:r>
      <w:r>
        <w:t xml:space="preserve"> </w:t>
      </w:r>
      <w:r w:rsidR="00F561E8">
        <w:t xml:space="preserve">would address these issues.  </w:t>
      </w:r>
      <w:r>
        <w:t xml:space="preserve">It would recognize associations as separate legal entities.  </w:t>
      </w:r>
      <w:r w:rsidRPr="00B67BD8">
        <w:rPr>
          <w:szCs w:val="24"/>
        </w:rPr>
        <w:t>As such, the</w:t>
      </w:r>
      <w:r w:rsidR="00C14AD1">
        <w:rPr>
          <w:szCs w:val="24"/>
        </w:rPr>
        <w:t xml:space="preserve"> associations</w:t>
      </w:r>
      <w:r w:rsidRPr="00B67BD8">
        <w:rPr>
          <w:szCs w:val="24"/>
        </w:rPr>
        <w:t xml:space="preserve"> c</w:t>
      </w:r>
      <w:r>
        <w:rPr>
          <w:szCs w:val="24"/>
        </w:rPr>
        <w:t>ould</w:t>
      </w:r>
      <w:r w:rsidRPr="00B67BD8">
        <w:rPr>
          <w:szCs w:val="24"/>
        </w:rPr>
        <w:t xml:space="preserve"> own and dispose of property, open accounts and sue and be sued in their own name.  </w:t>
      </w:r>
      <w:r>
        <w:rPr>
          <w:szCs w:val="24"/>
        </w:rPr>
        <w:t xml:space="preserve">The </w:t>
      </w:r>
      <w:r w:rsidRPr="001C0913">
        <w:t>RUUNAA</w:t>
      </w:r>
      <w:r>
        <w:rPr>
          <w:szCs w:val="24"/>
        </w:rPr>
        <w:t xml:space="preserve"> would p</w:t>
      </w:r>
      <w:r w:rsidRPr="001C0913">
        <w:rPr>
          <w:bCs/>
          <w:szCs w:val="24"/>
          <w:shd w:val="clear" w:color="auto" w:fill="FFFFFF"/>
        </w:rPr>
        <w:t>rotect members and managers from personal liability.</w:t>
      </w:r>
      <w:r>
        <w:rPr>
          <w:bCs/>
          <w:szCs w:val="24"/>
          <w:shd w:val="clear" w:color="auto" w:fill="FFFFFF"/>
        </w:rPr>
        <w:t xml:space="preserve">  The </w:t>
      </w:r>
      <w:r w:rsidRPr="00B67BD8">
        <w:rPr>
          <w:bCs/>
          <w:szCs w:val="24"/>
          <w:shd w:val="clear" w:color="auto" w:fill="FFFFFF"/>
        </w:rPr>
        <w:t>association</w:t>
      </w:r>
      <w:r>
        <w:rPr>
          <w:bCs/>
          <w:szCs w:val="24"/>
          <w:shd w:val="clear" w:color="auto" w:fill="FFFFFF"/>
        </w:rPr>
        <w:t xml:space="preserve"> would be responsible for its own obligations.  The members and managers w</w:t>
      </w:r>
      <w:r w:rsidR="00C14AD1">
        <w:rPr>
          <w:bCs/>
          <w:szCs w:val="24"/>
          <w:shd w:val="clear" w:color="auto" w:fill="FFFFFF"/>
        </w:rPr>
        <w:t>ould</w:t>
      </w:r>
      <w:r>
        <w:rPr>
          <w:bCs/>
          <w:szCs w:val="24"/>
          <w:shd w:val="clear" w:color="auto" w:fill="FFFFFF"/>
        </w:rPr>
        <w:t xml:space="preserve"> </w:t>
      </w:r>
      <w:r w:rsidRPr="00B67BD8">
        <w:rPr>
          <w:bCs/>
          <w:szCs w:val="24"/>
          <w:shd w:val="clear" w:color="auto" w:fill="FFFFFF"/>
        </w:rPr>
        <w:t xml:space="preserve">not be </w:t>
      </w:r>
      <w:r>
        <w:rPr>
          <w:bCs/>
          <w:szCs w:val="24"/>
          <w:shd w:val="clear" w:color="auto" w:fill="FFFFFF"/>
        </w:rPr>
        <w:t xml:space="preserve">responsible solely because they are members or managers of </w:t>
      </w:r>
      <w:r w:rsidRPr="00B67BD8">
        <w:rPr>
          <w:bCs/>
          <w:szCs w:val="24"/>
          <w:shd w:val="clear" w:color="auto" w:fill="FFFFFF"/>
        </w:rPr>
        <w:t>the association</w:t>
      </w:r>
      <w:r w:rsidRPr="00B67BD8">
        <w:rPr>
          <w:szCs w:val="24"/>
          <w:shd w:val="clear" w:color="auto" w:fill="FFFFFF"/>
        </w:rPr>
        <w:t>.</w:t>
      </w:r>
      <w:r>
        <w:rPr>
          <w:szCs w:val="24"/>
          <w:shd w:val="clear" w:color="auto" w:fill="FFFFFF"/>
        </w:rPr>
        <w:t xml:space="preserve">  The </w:t>
      </w:r>
      <w:r w:rsidRPr="001C0913">
        <w:t>RUUNAA</w:t>
      </w:r>
      <w:r>
        <w:t xml:space="preserve"> would provide default rules </w:t>
      </w:r>
      <w:r>
        <w:rPr>
          <w:szCs w:val="24"/>
        </w:rPr>
        <w:t>for the association’s operations –</w:t>
      </w:r>
      <w:r w:rsidR="00C14AD1">
        <w:rPr>
          <w:szCs w:val="24"/>
        </w:rPr>
        <w:t xml:space="preserve"> </w:t>
      </w:r>
      <w:r>
        <w:rPr>
          <w:szCs w:val="24"/>
        </w:rPr>
        <w:t>member admission and resignation, roles of members and managers, rights to financial information, and restrictions on personal gain –</w:t>
      </w:r>
      <w:r w:rsidR="00C14AD1">
        <w:rPr>
          <w:szCs w:val="24"/>
        </w:rPr>
        <w:t xml:space="preserve"> </w:t>
      </w:r>
      <w:r>
        <w:rPr>
          <w:szCs w:val="24"/>
        </w:rPr>
        <w:t>if the association ha</w:t>
      </w:r>
      <w:r w:rsidR="00C14AD1">
        <w:rPr>
          <w:szCs w:val="24"/>
        </w:rPr>
        <w:t>s</w:t>
      </w:r>
      <w:r>
        <w:rPr>
          <w:szCs w:val="24"/>
        </w:rPr>
        <w:t xml:space="preserve"> no rules of its own.  The RUUNAA also has provisions for dissolution and winding up of an association.  The RUUNAA does not change existing laws applicable to specific associations, such as churches, or existing laws regarding charitable solicitations. </w:t>
      </w:r>
    </w:p>
    <w:p w:rsidR="008B4456" w:rsidRPr="00363BC9" w:rsidRDefault="008B4456" w:rsidP="0008206D">
      <w:pPr>
        <w:pStyle w:val="Heading4"/>
        <w:spacing w:before="240"/>
        <w:rPr>
          <w:rFonts w:eastAsia="Times New Roman"/>
        </w:rPr>
      </w:pPr>
      <w:r w:rsidRPr="00363BC9">
        <w:rPr>
          <w:rFonts w:eastAsia="Times New Roman"/>
        </w:rPr>
        <w:t xml:space="preserve">New </w:t>
      </w:r>
      <w:r w:rsidR="009842D1">
        <w:rPr>
          <w:rFonts w:eastAsia="Times New Roman"/>
        </w:rPr>
        <w:t xml:space="preserve">Oklahoma </w:t>
      </w:r>
      <w:r w:rsidRPr="00363BC9">
        <w:rPr>
          <w:rFonts w:eastAsia="Times New Roman"/>
        </w:rPr>
        <w:t>Cases</w:t>
      </w:r>
    </w:p>
    <w:p w:rsidR="0008206D" w:rsidRDefault="00BC2437" w:rsidP="0008206D">
      <w:pPr>
        <w:overflowPunct w:val="0"/>
        <w:spacing w:line="360" w:lineRule="auto"/>
        <w:ind w:firstLine="720"/>
        <w:textAlignment w:val="baseline"/>
        <w:rPr>
          <w:rFonts w:eastAsia="Times New Roman"/>
        </w:rPr>
      </w:pPr>
      <w:r>
        <w:rPr>
          <w:rFonts w:eastAsia="Times New Roman"/>
        </w:rPr>
        <w:t xml:space="preserve">Four </w:t>
      </w:r>
      <w:r w:rsidR="0008206D" w:rsidRPr="00363BC9">
        <w:rPr>
          <w:rFonts w:eastAsia="Times New Roman"/>
        </w:rPr>
        <w:t xml:space="preserve">recent </w:t>
      </w:r>
      <w:r w:rsidR="00EC60AA">
        <w:rPr>
          <w:rFonts w:eastAsia="Times New Roman"/>
        </w:rPr>
        <w:t xml:space="preserve">Oklahoma </w:t>
      </w:r>
      <w:r w:rsidR="0008206D" w:rsidRPr="00363BC9">
        <w:rPr>
          <w:rFonts w:eastAsia="Times New Roman"/>
        </w:rPr>
        <w:t>case</w:t>
      </w:r>
      <w:r w:rsidR="00EC60AA">
        <w:rPr>
          <w:rFonts w:eastAsia="Times New Roman"/>
        </w:rPr>
        <w:t>s</w:t>
      </w:r>
      <w:r w:rsidR="0008206D" w:rsidRPr="00363BC9">
        <w:rPr>
          <w:rFonts w:eastAsia="Times New Roman"/>
        </w:rPr>
        <w:t xml:space="preserve"> deserve mention</w:t>
      </w:r>
      <w:r w:rsidR="00790324">
        <w:rPr>
          <w:rFonts w:eastAsia="Times New Roman"/>
        </w:rPr>
        <w:t xml:space="preserve">.  </w:t>
      </w:r>
      <w:r w:rsidR="006F4F5B">
        <w:rPr>
          <w:rFonts w:eastAsia="Times New Roman"/>
        </w:rPr>
        <w:t>Two are shareholder derivative actions</w:t>
      </w:r>
      <w:r w:rsidR="00CA04B7">
        <w:rPr>
          <w:rFonts w:eastAsia="Times New Roman"/>
        </w:rPr>
        <w:t xml:space="preserve"> that </w:t>
      </w:r>
      <w:r w:rsidR="0011518C">
        <w:rPr>
          <w:rFonts w:eastAsia="Times New Roman"/>
        </w:rPr>
        <w:t xml:space="preserve">deal with </w:t>
      </w:r>
      <w:r>
        <w:rPr>
          <w:rFonts w:eastAsia="Times New Roman"/>
        </w:rPr>
        <w:t xml:space="preserve">matters leading up to </w:t>
      </w:r>
      <w:r w:rsidR="006F4F5B">
        <w:rPr>
          <w:rFonts w:eastAsia="Times New Roman"/>
        </w:rPr>
        <w:t xml:space="preserve">the </w:t>
      </w:r>
      <w:r w:rsidR="0011518C">
        <w:rPr>
          <w:rFonts w:eastAsia="Times New Roman"/>
        </w:rPr>
        <w:t xml:space="preserve">board and </w:t>
      </w:r>
      <w:r w:rsidR="006F4F5B">
        <w:rPr>
          <w:rFonts w:eastAsia="Times New Roman"/>
        </w:rPr>
        <w:t>management reshuffling at Chesapeake Energy.</w:t>
      </w:r>
      <w:r w:rsidR="0011518C">
        <w:rPr>
          <w:rStyle w:val="FootnoteReference"/>
          <w:rFonts w:eastAsia="Times New Roman"/>
        </w:rPr>
        <w:footnoteReference w:id="51"/>
      </w:r>
      <w:r w:rsidR="006F4F5B">
        <w:rPr>
          <w:rFonts w:eastAsia="Times New Roman"/>
        </w:rPr>
        <w:t xml:space="preserve">  </w:t>
      </w:r>
      <w:r>
        <w:rPr>
          <w:rFonts w:eastAsia="Times New Roman"/>
        </w:rPr>
        <w:t>A</w:t>
      </w:r>
      <w:r w:rsidR="006F4F5B">
        <w:rPr>
          <w:rFonts w:eastAsia="Times New Roman"/>
        </w:rPr>
        <w:t xml:space="preserve"> third </w:t>
      </w:r>
      <w:r w:rsidR="002B7C86">
        <w:rPr>
          <w:rFonts w:eastAsia="Times New Roman"/>
        </w:rPr>
        <w:t xml:space="preserve">case </w:t>
      </w:r>
      <w:r w:rsidR="00EC60AA">
        <w:rPr>
          <w:rFonts w:eastAsia="Times New Roman"/>
        </w:rPr>
        <w:t xml:space="preserve">deals </w:t>
      </w:r>
      <w:r w:rsidR="00023AAA">
        <w:rPr>
          <w:rFonts w:eastAsia="Times New Roman"/>
        </w:rPr>
        <w:t xml:space="preserve">with </w:t>
      </w:r>
      <w:r>
        <w:rPr>
          <w:rFonts w:eastAsia="Times New Roman"/>
        </w:rPr>
        <w:t xml:space="preserve">charging orders in LLCs.  A fourth </w:t>
      </w:r>
      <w:r w:rsidR="002B7C86">
        <w:rPr>
          <w:rFonts w:eastAsia="Times New Roman"/>
        </w:rPr>
        <w:t xml:space="preserve">case </w:t>
      </w:r>
      <w:r>
        <w:rPr>
          <w:rFonts w:eastAsia="Times New Roman"/>
        </w:rPr>
        <w:t xml:space="preserve">deals </w:t>
      </w:r>
      <w:r w:rsidR="00EC60AA">
        <w:rPr>
          <w:rFonts w:eastAsia="Times New Roman"/>
        </w:rPr>
        <w:t xml:space="preserve">with </w:t>
      </w:r>
      <w:r w:rsidR="006F4F5B">
        <w:rPr>
          <w:rFonts w:eastAsia="Times New Roman"/>
        </w:rPr>
        <w:t xml:space="preserve">the administrative suspension of charters for failure to pay franchise taxes. </w:t>
      </w:r>
    </w:p>
    <w:p w:rsidR="006F4F5B" w:rsidRDefault="006F4F5B" w:rsidP="0008206D">
      <w:pPr>
        <w:overflowPunct w:val="0"/>
        <w:spacing w:line="360" w:lineRule="auto"/>
        <w:ind w:firstLine="720"/>
        <w:textAlignment w:val="baseline"/>
        <w:rPr>
          <w:rFonts w:eastAsia="Times New Roman"/>
        </w:rPr>
      </w:pPr>
      <w:r>
        <w:rPr>
          <w:rFonts w:eastAsia="Times New Roman"/>
        </w:rPr>
        <w:t xml:space="preserve">The two Chesapeake cases </w:t>
      </w:r>
      <w:r w:rsidR="00646540">
        <w:rPr>
          <w:rFonts w:eastAsia="Times New Roman"/>
        </w:rPr>
        <w:t xml:space="preserve">address </w:t>
      </w:r>
      <w:r w:rsidR="00BC2437">
        <w:rPr>
          <w:rFonts w:eastAsia="Times New Roman"/>
        </w:rPr>
        <w:t xml:space="preserve">whether a shareholder must make demand upon the board of directors to remedy the alleged wrong before bringing </w:t>
      </w:r>
      <w:r w:rsidR="00803610">
        <w:rPr>
          <w:rFonts w:eastAsia="Times New Roman"/>
        </w:rPr>
        <w:t>a</w:t>
      </w:r>
      <w:r w:rsidR="00BC2437">
        <w:rPr>
          <w:rFonts w:eastAsia="Times New Roman"/>
        </w:rPr>
        <w:t xml:space="preserve"> </w:t>
      </w:r>
      <w:r>
        <w:rPr>
          <w:rFonts w:eastAsia="Times New Roman"/>
        </w:rPr>
        <w:t>derivative action</w:t>
      </w:r>
      <w:r w:rsidR="00BC2437">
        <w:rPr>
          <w:rFonts w:eastAsia="Times New Roman"/>
        </w:rPr>
        <w:t xml:space="preserve">.  In </w:t>
      </w:r>
      <w:proofErr w:type="spellStart"/>
      <w:r w:rsidR="00BC2437" w:rsidRPr="006F4F5B">
        <w:rPr>
          <w:rFonts w:eastAsia="Times New Roman"/>
          <w:i/>
        </w:rPr>
        <w:t>In</w:t>
      </w:r>
      <w:proofErr w:type="spellEnd"/>
      <w:r w:rsidR="00BC2437" w:rsidRPr="006F4F5B">
        <w:rPr>
          <w:rFonts w:eastAsia="Times New Roman"/>
          <w:i/>
        </w:rPr>
        <w:t xml:space="preserve"> Re Chesapeake Shareholders Derivative Litigation</w:t>
      </w:r>
      <w:r w:rsidR="00BC2437">
        <w:rPr>
          <w:rFonts w:eastAsia="Times New Roman"/>
        </w:rPr>
        <w:t>,</w:t>
      </w:r>
      <w:r w:rsidR="00036307">
        <w:rPr>
          <w:rStyle w:val="FootnoteReference"/>
          <w:rFonts w:eastAsia="Times New Roman"/>
        </w:rPr>
        <w:footnoteReference w:id="52"/>
      </w:r>
      <w:r w:rsidR="00BC2437">
        <w:rPr>
          <w:rFonts w:eastAsia="Times New Roman"/>
        </w:rPr>
        <w:t xml:space="preserve"> plaintiffs did not make demand arguing that demand was excused.  In </w:t>
      </w:r>
      <w:proofErr w:type="spellStart"/>
      <w:r w:rsidR="00BC2437" w:rsidRPr="006F4F5B">
        <w:rPr>
          <w:rStyle w:val="Strong"/>
          <w:b w:val="0"/>
          <w:i/>
          <w:color w:val="000000"/>
          <w:szCs w:val="24"/>
        </w:rPr>
        <w:t>Egleston</w:t>
      </w:r>
      <w:proofErr w:type="spellEnd"/>
      <w:r w:rsidR="00BC2437" w:rsidRPr="006F4F5B">
        <w:rPr>
          <w:rStyle w:val="Strong"/>
          <w:b w:val="0"/>
          <w:i/>
          <w:color w:val="000000"/>
          <w:szCs w:val="24"/>
        </w:rPr>
        <w:t xml:space="preserve"> v. McClendon</w:t>
      </w:r>
      <w:r w:rsidR="00BC2437">
        <w:rPr>
          <w:rStyle w:val="Strong"/>
          <w:b w:val="0"/>
          <w:color w:val="000000"/>
          <w:szCs w:val="24"/>
        </w:rPr>
        <w:t>,</w:t>
      </w:r>
      <w:r w:rsidR="00036307">
        <w:rPr>
          <w:rStyle w:val="FootnoteReference"/>
          <w:bCs/>
          <w:szCs w:val="24"/>
        </w:rPr>
        <w:footnoteReference w:id="53"/>
      </w:r>
      <w:r w:rsidR="00BC2437">
        <w:rPr>
          <w:rStyle w:val="Strong"/>
          <w:b w:val="0"/>
          <w:color w:val="000000"/>
          <w:szCs w:val="24"/>
        </w:rPr>
        <w:t xml:space="preserve"> plaintiffs made demand. </w:t>
      </w:r>
    </w:p>
    <w:p w:rsidR="006F4F5B" w:rsidRDefault="00610E60" w:rsidP="0008206D">
      <w:pPr>
        <w:overflowPunct w:val="0"/>
        <w:spacing w:line="360" w:lineRule="auto"/>
        <w:ind w:firstLine="720"/>
        <w:textAlignment w:val="baseline"/>
        <w:rPr>
          <w:rFonts w:eastAsia="Times New Roman"/>
        </w:rPr>
      </w:pPr>
      <w:r w:rsidRPr="00610E60">
        <w:rPr>
          <w:rFonts w:eastAsia="Times New Roman"/>
        </w:rPr>
        <w:lastRenderedPageBreak/>
        <w:t>In</w:t>
      </w:r>
      <w:r>
        <w:rPr>
          <w:rFonts w:eastAsia="Times New Roman"/>
          <w:i/>
        </w:rPr>
        <w:t xml:space="preserve"> </w:t>
      </w:r>
      <w:proofErr w:type="spellStart"/>
      <w:r w:rsidR="006F4F5B" w:rsidRPr="006F4F5B">
        <w:rPr>
          <w:rFonts w:eastAsia="Times New Roman"/>
          <w:i/>
        </w:rPr>
        <w:t>In</w:t>
      </w:r>
      <w:proofErr w:type="spellEnd"/>
      <w:r w:rsidR="006F4F5B" w:rsidRPr="006F4F5B">
        <w:rPr>
          <w:rFonts w:eastAsia="Times New Roman"/>
          <w:i/>
        </w:rPr>
        <w:t xml:space="preserve"> Re Chesapeake Shareholders Derivative Litigation</w:t>
      </w:r>
      <w:r w:rsidR="006F4F5B">
        <w:rPr>
          <w:rFonts w:eastAsia="Times New Roman"/>
        </w:rPr>
        <w:t xml:space="preserve">, </w:t>
      </w:r>
      <w:r w:rsidR="00B25BC7">
        <w:rPr>
          <w:rFonts w:eastAsia="Times New Roman"/>
        </w:rPr>
        <w:t>plaintiff</w:t>
      </w:r>
      <w:r w:rsidR="005F42F3">
        <w:rPr>
          <w:rFonts w:eastAsia="Times New Roman"/>
        </w:rPr>
        <w:t xml:space="preserve">s </w:t>
      </w:r>
      <w:r w:rsidR="00767DD4">
        <w:rPr>
          <w:rFonts w:eastAsia="Times New Roman"/>
        </w:rPr>
        <w:t>allege</w:t>
      </w:r>
      <w:r w:rsidR="002B7C86">
        <w:rPr>
          <w:rFonts w:eastAsia="Times New Roman"/>
        </w:rPr>
        <w:t>d</w:t>
      </w:r>
      <w:r w:rsidR="00767DD4">
        <w:rPr>
          <w:rFonts w:eastAsia="Times New Roman"/>
        </w:rPr>
        <w:t xml:space="preserve"> various wrongs done to Chesapeake by its CEO, Aubrey McClendon, and certain directors.</w:t>
      </w:r>
      <w:r w:rsidR="00794D7C">
        <w:rPr>
          <w:rStyle w:val="FootnoteReference"/>
          <w:rFonts w:eastAsia="Times New Roman"/>
        </w:rPr>
        <w:footnoteReference w:id="54"/>
      </w:r>
      <w:r w:rsidR="00767DD4">
        <w:rPr>
          <w:rFonts w:eastAsia="Times New Roman"/>
        </w:rPr>
        <w:t xml:space="preserve">  They </w:t>
      </w:r>
      <w:r w:rsidR="005F42F3">
        <w:rPr>
          <w:rFonts w:eastAsia="Times New Roman"/>
        </w:rPr>
        <w:t xml:space="preserve">sought rescission of </w:t>
      </w:r>
      <w:r w:rsidR="00767DD4">
        <w:rPr>
          <w:rFonts w:eastAsia="Times New Roman"/>
        </w:rPr>
        <w:t xml:space="preserve">McClendon’s </w:t>
      </w:r>
      <w:r w:rsidR="005F42F3">
        <w:rPr>
          <w:rFonts w:eastAsia="Times New Roman"/>
        </w:rPr>
        <w:t>employment contract</w:t>
      </w:r>
      <w:r w:rsidR="00767DD4">
        <w:rPr>
          <w:rFonts w:eastAsia="Times New Roman"/>
        </w:rPr>
        <w:t>,</w:t>
      </w:r>
      <w:r w:rsidR="005F42F3">
        <w:rPr>
          <w:rFonts w:eastAsia="Times New Roman"/>
        </w:rPr>
        <w:t xml:space="preserve"> which they </w:t>
      </w:r>
      <w:r w:rsidR="002B7C86">
        <w:rPr>
          <w:rFonts w:eastAsia="Times New Roman"/>
        </w:rPr>
        <w:t xml:space="preserve">asserted </w:t>
      </w:r>
      <w:r w:rsidR="005F42F3">
        <w:rPr>
          <w:rFonts w:eastAsia="Times New Roman"/>
        </w:rPr>
        <w:t>was excessive and wasteful.</w:t>
      </w:r>
      <w:r w:rsidR="00767DD4">
        <w:rPr>
          <w:rStyle w:val="FootnoteReference"/>
          <w:rFonts w:eastAsia="Times New Roman"/>
        </w:rPr>
        <w:footnoteReference w:id="55"/>
      </w:r>
      <w:r w:rsidR="005F42F3">
        <w:rPr>
          <w:rFonts w:eastAsia="Times New Roman"/>
        </w:rPr>
        <w:t xml:space="preserve">  Plaintiffs also sought rescission of Chesapeake’s purchase of McClendon’s art collection and the disgorgement of profits that three directors made on their sales of Chesapeake stock while they allegedly possessed inside information.</w:t>
      </w:r>
      <w:r w:rsidR="00E0477C">
        <w:rPr>
          <w:rStyle w:val="FootnoteReference"/>
          <w:rFonts w:eastAsia="Times New Roman"/>
        </w:rPr>
        <w:footnoteReference w:id="56"/>
      </w:r>
      <w:r w:rsidR="005F42F3">
        <w:rPr>
          <w:rFonts w:eastAsia="Times New Roman"/>
        </w:rPr>
        <w:t xml:space="preserve">  Defendants moved to dismiss the petition for </w:t>
      </w:r>
      <w:r w:rsidR="00B25BC7">
        <w:rPr>
          <w:rFonts w:eastAsia="Times New Roman"/>
        </w:rPr>
        <w:t>plaintiff</w:t>
      </w:r>
      <w:r w:rsidR="005F42F3">
        <w:rPr>
          <w:rFonts w:eastAsia="Times New Roman"/>
        </w:rPr>
        <w:t xml:space="preserve">s’ failure to first demand </w:t>
      </w:r>
      <w:r w:rsidR="00767DD4">
        <w:rPr>
          <w:rFonts w:eastAsia="Times New Roman"/>
        </w:rPr>
        <w:t>that the board address the alleged wrongdoing.</w:t>
      </w:r>
    </w:p>
    <w:p w:rsidR="00767DD4" w:rsidRDefault="00C90124" w:rsidP="0008206D">
      <w:pPr>
        <w:overflowPunct w:val="0"/>
        <w:spacing w:line="360" w:lineRule="auto"/>
        <w:ind w:firstLine="720"/>
        <w:textAlignment w:val="baseline"/>
        <w:rPr>
          <w:rFonts w:eastAsia="Times New Roman"/>
        </w:rPr>
      </w:pPr>
      <w:r>
        <w:rPr>
          <w:rFonts w:eastAsia="Times New Roman"/>
        </w:rPr>
        <w:t xml:space="preserve">Plaintiffs’ claims </w:t>
      </w:r>
      <w:r w:rsidR="002B7C86">
        <w:rPr>
          <w:rFonts w:eastAsia="Times New Roman"/>
        </w:rPr>
        <w:t xml:space="preserve">are derivative – the claims </w:t>
      </w:r>
      <w:r>
        <w:rPr>
          <w:rFonts w:eastAsia="Times New Roman"/>
        </w:rPr>
        <w:t xml:space="preserve">relate to wrongs done to Chesapeake and its shareholders, not to the </w:t>
      </w:r>
      <w:r w:rsidR="00B25BC7">
        <w:rPr>
          <w:rFonts w:eastAsia="Times New Roman"/>
        </w:rPr>
        <w:t>plaintiff</w:t>
      </w:r>
      <w:r>
        <w:rPr>
          <w:rFonts w:eastAsia="Times New Roman"/>
        </w:rPr>
        <w:t xml:space="preserve">s individually.  </w:t>
      </w:r>
      <w:r w:rsidR="005B780A">
        <w:rPr>
          <w:rFonts w:eastAsia="Times New Roman"/>
        </w:rPr>
        <w:t>As such, t</w:t>
      </w:r>
      <w:r>
        <w:rPr>
          <w:rFonts w:eastAsia="Times New Roman"/>
        </w:rPr>
        <w:t>he claims belong to the corporation.  Any rights that a shareholder might have to assert the claims are derived from the corporation</w:t>
      </w:r>
      <w:r w:rsidR="00646540">
        <w:rPr>
          <w:rFonts w:eastAsia="Times New Roman"/>
        </w:rPr>
        <w:t>, and the corporation is by statute managed by its board of directors</w:t>
      </w:r>
      <w:r>
        <w:rPr>
          <w:rFonts w:eastAsia="Times New Roman"/>
        </w:rPr>
        <w:t>.</w:t>
      </w:r>
      <w:r w:rsidR="0061277E">
        <w:rPr>
          <w:rStyle w:val="FootnoteReference"/>
          <w:rFonts w:eastAsia="Times New Roman"/>
        </w:rPr>
        <w:footnoteReference w:id="57"/>
      </w:r>
      <w:r>
        <w:rPr>
          <w:rFonts w:eastAsia="Times New Roman"/>
        </w:rPr>
        <w:t xml:space="preserve">  This explains why the law generally requires that a shareholder must first make demand on the board to pursue the claims before the shareholder can pursue the claims. </w:t>
      </w:r>
    </w:p>
    <w:p w:rsidR="00767DD4" w:rsidRDefault="00C90124" w:rsidP="0008206D">
      <w:pPr>
        <w:overflowPunct w:val="0"/>
        <w:spacing w:line="360" w:lineRule="auto"/>
        <w:ind w:firstLine="720"/>
        <w:textAlignment w:val="baseline"/>
        <w:rPr>
          <w:rFonts w:eastAsia="Times New Roman"/>
        </w:rPr>
      </w:pPr>
      <w:r>
        <w:rPr>
          <w:rFonts w:eastAsia="Times New Roman"/>
        </w:rPr>
        <w:t xml:space="preserve">The law has long had an exception to the general demand requirement.  If a shareholder can show that making demand would be futile, </w:t>
      </w:r>
      <w:r w:rsidR="001F6D6B">
        <w:rPr>
          <w:rFonts w:eastAsia="Times New Roman"/>
        </w:rPr>
        <w:t xml:space="preserve">making </w:t>
      </w:r>
      <w:r>
        <w:rPr>
          <w:rFonts w:eastAsia="Times New Roman"/>
        </w:rPr>
        <w:t xml:space="preserve">demand is excused. </w:t>
      </w:r>
      <w:r w:rsidR="00535472">
        <w:rPr>
          <w:rFonts w:eastAsia="Times New Roman"/>
        </w:rPr>
        <w:t xml:space="preserve"> This was </w:t>
      </w:r>
      <w:r w:rsidR="00203E3D">
        <w:rPr>
          <w:rFonts w:eastAsia="Times New Roman"/>
        </w:rPr>
        <w:t xml:space="preserve">plaintiffs’ </w:t>
      </w:r>
      <w:r w:rsidR="00535472">
        <w:rPr>
          <w:rFonts w:eastAsia="Times New Roman"/>
        </w:rPr>
        <w:t xml:space="preserve">course.  In </w:t>
      </w:r>
      <w:r w:rsidR="00610E60">
        <w:rPr>
          <w:rFonts w:eastAsia="Times New Roman"/>
        </w:rPr>
        <w:t xml:space="preserve">the </w:t>
      </w:r>
      <w:r w:rsidR="00535472">
        <w:rPr>
          <w:rFonts w:eastAsia="Times New Roman"/>
        </w:rPr>
        <w:t xml:space="preserve">trial court, the parties agreed that the demand excused </w:t>
      </w:r>
      <w:r w:rsidR="00535472">
        <w:rPr>
          <w:rFonts w:eastAsia="Times New Roman"/>
        </w:rPr>
        <w:lastRenderedPageBreak/>
        <w:t>exception existed, but disagreed about the applicable standard.</w:t>
      </w:r>
      <w:r w:rsidR="00691290">
        <w:rPr>
          <w:rStyle w:val="FootnoteReference"/>
          <w:rFonts w:eastAsia="Times New Roman"/>
        </w:rPr>
        <w:footnoteReference w:id="58"/>
      </w:r>
      <w:r w:rsidR="00535472">
        <w:rPr>
          <w:rFonts w:eastAsia="Times New Roman"/>
        </w:rPr>
        <w:t xml:space="preserve">  Plaintiffs argued that the standard was articulated by the Oklahoma Supreme Court in </w:t>
      </w:r>
      <w:r w:rsidR="00535472" w:rsidRPr="005F016C">
        <w:rPr>
          <w:rFonts w:eastAsia="Times New Roman"/>
          <w:i/>
        </w:rPr>
        <w:t>Hargrave v. Canadian Valley Electric Coop., Inc</w:t>
      </w:r>
      <w:r w:rsidR="00535472">
        <w:rPr>
          <w:rFonts w:eastAsia="Times New Roman"/>
        </w:rPr>
        <w:t>.</w:t>
      </w:r>
      <w:r w:rsidR="005F016C">
        <w:rPr>
          <w:rStyle w:val="FootnoteReference"/>
          <w:rFonts w:eastAsia="Times New Roman"/>
        </w:rPr>
        <w:footnoteReference w:id="59"/>
      </w:r>
      <w:r w:rsidR="00535472">
        <w:rPr>
          <w:rFonts w:eastAsia="Times New Roman"/>
        </w:rPr>
        <w:t xml:space="preserve">  </w:t>
      </w:r>
      <w:r w:rsidR="00535472" w:rsidRPr="00E921E5">
        <w:rPr>
          <w:rFonts w:eastAsia="Times New Roman"/>
          <w:i/>
        </w:rPr>
        <w:t>Hargrave</w:t>
      </w:r>
      <w:r w:rsidR="00535472">
        <w:rPr>
          <w:rFonts w:eastAsia="Times New Roman"/>
        </w:rPr>
        <w:t xml:space="preserve"> involved rate-payers who derivatively sued their electric cooperative and its board </w:t>
      </w:r>
      <w:r w:rsidR="008B6424">
        <w:rPr>
          <w:rFonts w:eastAsia="Times New Roman"/>
        </w:rPr>
        <w:t xml:space="preserve">of trustees </w:t>
      </w:r>
      <w:r w:rsidR="00B16DAE">
        <w:rPr>
          <w:rFonts w:eastAsia="Times New Roman"/>
        </w:rPr>
        <w:t xml:space="preserve">alleging that a power contract authorized by the board was approved improvidently.  </w:t>
      </w:r>
      <w:r w:rsidR="00E921E5" w:rsidRPr="00E921E5">
        <w:rPr>
          <w:rFonts w:eastAsia="Times New Roman"/>
          <w:i/>
        </w:rPr>
        <w:t>Hargrave</w:t>
      </w:r>
      <w:r w:rsidR="00E921E5">
        <w:rPr>
          <w:rFonts w:eastAsia="Times New Roman"/>
        </w:rPr>
        <w:t xml:space="preserve"> </w:t>
      </w:r>
      <w:r w:rsidR="00836B5E">
        <w:rPr>
          <w:rFonts w:eastAsia="Times New Roman"/>
        </w:rPr>
        <w:t xml:space="preserve">seems to </w:t>
      </w:r>
      <w:r w:rsidR="00E921E5">
        <w:rPr>
          <w:rFonts w:eastAsia="Times New Roman"/>
        </w:rPr>
        <w:t>h</w:t>
      </w:r>
      <w:r w:rsidR="00836B5E">
        <w:rPr>
          <w:rFonts w:eastAsia="Times New Roman"/>
        </w:rPr>
        <w:t>o</w:t>
      </w:r>
      <w:r w:rsidR="00E921E5">
        <w:rPr>
          <w:rFonts w:eastAsia="Times New Roman"/>
        </w:rPr>
        <w:t xml:space="preserve">ld that the board’s approval of the transactions </w:t>
      </w:r>
      <w:r w:rsidR="00203E3D">
        <w:rPr>
          <w:rFonts w:eastAsia="Times New Roman"/>
        </w:rPr>
        <w:t>at issue</w:t>
      </w:r>
      <w:r w:rsidR="00E921E5">
        <w:rPr>
          <w:rFonts w:eastAsia="Times New Roman"/>
        </w:rPr>
        <w:t xml:space="preserve"> </w:t>
      </w:r>
      <w:r w:rsidR="009D3B32">
        <w:rPr>
          <w:rFonts w:eastAsia="Times New Roman"/>
        </w:rPr>
        <w:t>compromise</w:t>
      </w:r>
      <w:r w:rsidR="00203E3D">
        <w:rPr>
          <w:rFonts w:eastAsia="Times New Roman"/>
        </w:rPr>
        <w:t>d</w:t>
      </w:r>
      <w:r w:rsidR="009D3B32">
        <w:rPr>
          <w:rFonts w:eastAsia="Times New Roman"/>
        </w:rPr>
        <w:t xml:space="preserve"> the board’s independence and </w:t>
      </w:r>
      <w:r w:rsidR="00E921E5">
        <w:rPr>
          <w:rFonts w:eastAsia="Times New Roman"/>
        </w:rPr>
        <w:t xml:space="preserve">is reason enough to excuse demand. </w:t>
      </w:r>
    </w:p>
    <w:p w:rsidR="00B433EA" w:rsidRDefault="00E921E5" w:rsidP="0008206D">
      <w:pPr>
        <w:overflowPunct w:val="0"/>
        <w:spacing w:line="360" w:lineRule="auto"/>
        <w:ind w:firstLine="720"/>
        <w:textAlignment w:val="baseline"/>
        <w:rPr>
          <w:rFonts w:eastAsia="Times New Roman"/>
        </w:rPr>
      </w:pPr>
      <w:r>
        <w:t xml:space="preserve">The </w:t>
      </w:r>
      <w:r w:rsidRPr="00B433EA">
        <w:rPr>
          <w:i/>
        </w:rPr>
        <w:t>Hargrave</w:t>
      </w:r>
      <w:r>
        <w:t xml:space="preserve"> holding is a decidedly minority position and </w:t>
      </w:r>
      <w:r w:rsidR="00B25BC7">
        <w:t>defendant</w:t>
      </w:r>
      <w:r>
        <w:t>s urged the trial court to follow the majority position as articulated in Delaware precedent.</w:t>
      </w:r>
      <w:r w:rsidR="00CB4F61">
        <w:rPr>
          <w:rStyle w:val="FootnoteReference"/>
        </w:rPr>
        <w:footnoteReference w:id="60"/>
      </w:r>
      <w:r>
        <w:t xml:space="preserve">  The majority position holds that mere approval of the transaction </w:t>
      </w:r>
      <w:r w:rsidR="00EF26A2">
        <w:t xml:space="preserve">at issue </w:t>
      </w:r>
      <w:r>
        <w:t>is insufficient to excuse demand.</w:t>
      </w:r>
      <w:r w:rsidR="008B6424">
        <w:rPr>
          <w:rStyle w:val="FootnoteReference"/>
        </w:rPr>
        <w:footnoteReference w:id="61"/>
      </w:r>
      <w:r>
        <w:t xml:space="preserve">  A shareholder must show </w:t>
      </w:r>
      <w:r w:rsidR="00B433EA">
        <w:t>a self-interest or bias that would taint the directors’ judgment.</w:t>
      </w:r>
      <w:r w:rsidR="00E03F10">
        <w:rPr>
          <w:rStyle w:val="FootnoteReference"/>
        </w:rPr>
        <w:footnoteReference w:id="62"/>
      </w:r>
      <w:r w:rsidR="00B433EA">
        <w:t xml:space="preserve">  The trial court ostensibly rejected </w:t>
      </w:r>
      <w:r w:rsidR="00B25BC7">
        <w:t>defendant</w:t>
      </w:r>
      <w:r w:rsidR="00B433EA">
        <w:t xml:space="preserve">s’ position, citing the </w:t>
      </w:r>
      <w:r w:rsidR="00B433EA">
        <w:rPr>
          <w:rFonts w:eastAsia="Times New Roman"/>
        </w:rPr>
        <w:t xml:space="preserve">Oklahoma Supreme Court’s subsequent use of </w:t>
      </w:r>
      <w:r w:rsidR="00B433EA" w:rsidRPr="00B433EA">
        <w:rPr>
          <w:rFonts w:eastAsia="Times New Roman"/>
          <w:i/>
        </w:rPr>
        <w:t>Hargrave</w:t>
      </w:r>
      <w:r w:rsidR="00B433EA">
        <w:rPr>
          <w:rFonts w:eastAsia="Times New Roman"/>
        </w:rPr>
        <w:t xml:space="preserve"> as precedent.</w:t>
      </w:r>
      <w:r w:rsidR="00691290">
        <w:rPr>
          <w:rStyle w:val="FootnoteReference"/>
          <w:rFonts w:eastAsia="Times New Roman"/>
        </w:rPr>
        <w:footnoteReference w:id="63"/>
      </w:r>
      <w:r w:rsidR="00B433EA">
        <w:rPr>
          <w:rFonts w:eastAsia="Times New Roman"/>
        </w:rPr>
        <w:t xml:space="preserve">  The court went on to review </w:t>
      </w:r>
      <w:r w:rsidR="00B25BC7">
        <w:rPr>
          <w:rFonts w:eastAsia="Times New Roman"/>
        </w:rPr>
        <w:t>plaintiff</w:t>
      </w:r>
      <w:r w:rsidR="00B433EA">
        <w:rPr>
          <w:rFonts w:eastAsia="Times New Roman"/>
        </w:rPr>
        <w:t>s’ additional allegations of bias against the directors.</w:t>
      </w:r>
      <w:r w:rsidR="00691290">
        <w:rPr>
          <w:rStyle w:val="FootnoteReference"/>
          <w:rFonts w:eastAsia="Times New Roman"/>
        </w:rPr>
        <w:footnoteReference w:id="64"/>
      </w:r>
      <w:r w:rsidR="00B433EA">
        <w:rPr>
          <w:rFonts w:eastAsia="Times New Roman"/>
        </w:rPr>
        <w:t xml:space="preserve">  Then the court surprisingly held tha</w:t>
      </w:r>
      <w:r w:rsidR="008E6E27">
        <w:rPr>
          <w:rFonts w:eastAsia="Times New Roman"/>
        </w:rPr>
        <w:t>t demand would not be excused.</w:t>
      </w:r>
    </w:p>
    <w:p w:rsidR="00B433EA" w:rsidRDefault="00B433EA" w:rsidP="0008206D">
      <w:pPr>
        <w:overflowPunct w:val="0"/>
        <w:spacing w:line="360" w:lineRule="auto"/>
        <w:ind w:firstLine="720"/>
        <w:textAlignment w:val="baseline"/>
        <w:rPr>
          <w:rFonts w:eastAsia="Times New Roman"/>
        </w:rPr>
      </w:pPr>
      <w:r>
        <w:rPr>
          <w:rFonts w:eastAsia="Times New Roman"/>
        </w:rPr>
        <w:t xml:space="preserve">The </w:t>
      </w:r>
      <w:r w:rsidR="00A42450">
        <w:rPr>
          <w:rFonts w:eastAsia="Times New Roman"/>
        </w:rPr>
        <w:t xml:space="preserve">trial </w:t>
      </w:r>
      <w:r>
        <w:rPr>
          <w:rFonts w:eastAsia="Times New Roman"/>
        </w:rPr>
        <w:t xml:space="preserve">court’s holding is </w:t>
      </w:r>
      <w:r w:rsidR="000C0656">
        <w:rPr>
          <w:rFonts w:eastAsia="Times New Roman"/>
        </w:rPr>
        <w:t xml:space="preserve">somewhat difficult to reconcile with the </w:t>
      </w:r>
      <w:r w:rsidR="000C0656" w:rsidRPr="000C0656">
        <w:rPr>
          <w:rFonts w:eastAsia="Times New Roman"/>
          <w:i/>
        </w:rPr>
        <w:t>Hargrave</w:t>
      </w:r>
      <w:r w:rsidR="000C0656">
        <w:rPr>
          <w:rFonts w:eastAsia="Times New Roman"/>
        </w:rPr>
        <w:t xml:space="preserve"> holding, which seems to say that board approval is itself sufficient to excuse demand.  </w:t>
      </w:r>
      <w:r w:rsidR="00A42450">
        <w:rPr>
          <w:rFonts w:eastAsia="Times New Roman"/>
        </w:rPr>
        <w:lastRenderedPageBreak/>
        <w:t xml:space="preserve">The trial court clearly wanted more indication of director self-interest or bias to excuse demand.  </w:t>
      </w:r>
      <w:r w:rsidR="00F20203">
        <w:rPr>
          <w:rFonts w:eastAsia="Times New Roman"/>
        </w:rPr>
        <w:t xml:space="preserve">The </w:t>
      </w:r>
      <w:r w:rsidR="000C0656" w:rsidRPr="000C0656">
        <w:rPr>
          <w:rFonts w:eastAsia="Times New Roman"/>
          <w:i/>
        </w:rPr>
        <w:t>Hargrave</w:t>
      </w:r>
      <w:r w:rsidR="000C0656">
        <w:rPr>
          <w:rFonts w:eastAsia="Times New Roman"/>
        </w:rPr>
        <w:t xml:space="preserve"> analysis is not thorough</w:t>
      </w:r>
      <w:r w:rsidR="00A42450">
        <w:rPr>
          <w:rStyle w:val="FootnoteReference"/>
          <w:rFonts w:eastAsia="Times New Roman"/>
        </w:rPr>
        <w:footnoteReference w:id="65"/>
      </w:r>
      <w:r w:rsidR="000C0656">
        <w:rPr>
          <w:rFonts w:eastAsia="Times New Roman"/>
        </w:rPr>
        <w:t xml:space="preserve"> and it relies heavily on </w:t>
      </w:r>
      <w:r w:rsidR="001F41D1">
        <w:rPr>
          <w:rFonts w:eastAsia="Times New Roman"/>
        </w:rPr>
        <w:t xml:space="preserve">two </w:t>
      </w:r>
      <w:r w:rsidR="000C0656">
        <w:rPr>
          <w:rFonts w:eastAsia="Times New Roman"/>
        </w:rPr>
        <w:t>case</w:t>
      </w:r>
      <w:r w:rsidR="001F41D1">
        <w:rPr>
          <w:rFonts w:eastAsia="Times New Roman"/>
        </w:rPr>
        <w:t>s</w:t>
      </w:r>
      <w:r w:rsidR="000C0656">
        <w:rPr>
          <w:rFonts w:eastAsia="Times New Roman"/>
        </w:rPr>
        <w:t xml:space="preserve">, </w:t>
      </w:r>
      <w:r w:rsidR="000C0656" w:rsidRPr="000C0656">
        <w:rPr>
          <w:rFonts w:eastAsia="Times New Roman"/>
          <w:i/>
        </w:rPr>
        <w:t>Lewis v. Curtis</w:t>
      </w:r>
      <w:r w:rsidR="001F41D1">
        <w:rPr>
          <w:rStyle w:val="FootnoteReference"/>
          <w:rFonts w:eastAsia="Times New Roman"/>
          <w:i/>
        </w:rPr>
        <w:footnoteReference w:id="66"/>
      </w:r>
      <w:r w:rsidR="001F41D1">
        <w:rPr>
          <w:rFonts w:eastAsia="Times New Roman"/>
        </w:rPr>
        <w:t xml:space="preserve"> and </w:t>
      </w:r>
      <w:r w:rsidR="001F41D1" w:rsidRPr="001F41D1">
        <w:rPr>
          <w:rFonts w:eastAsia="Times New Roman"/>
          <w:i/>
        </w:rPr>
        <w:t>Lewis v. Graves</w:t>
      </w:r>
      <w:r w:rsidR="000C0656">
        <w:rPr>
          <w:rFonts w:eastAsia="Times New Roman"/>
        </w:rPr>
        <w:t>,</w:t>
      </w:r>
      <w:r w:rsidR="001F41D1">
        <w:rPr>
          <w:rStyle w:val="FootnoteReference"/>
          <w:rFonts w:eastAsia="Times New Roman"/>
        </w:rPr>
        <w:footnoteReference w:id="67"/>
      </w:r>
      <w:r w:rsidR="000C0656">
        <w:rPr>
          <w:rFonts w:eastAsia="Times New Roman"/>
        </w:rPr>
        <w:t xml:space="preserve"> that squarely stand for the position</w:t>
      </w:r>
      <w:r w:rsidR="00794D7C">
        <w:rPr>
          <w:rFonts w:eastAsia="Times New Roman"/>
        </w:rPr>
        <w:t xml:space="preserve"> that more than mere approval must be shown</w:t>
      </w:r>
      <w:r w:rsidR="000C0656">
        <w:rPr>
          <w:rFonts w:eastAsia="Times New Roman"/>
        </w:rPr>
        <w:t>.</w:t>
      </w:r>
      <w:r w:rsidR="00A42450">
        <w:rPr>
          <w:rStyle w:val="FootnoteReference"/>
          <w:rFonts w:eastAsia="Times New Roman"/>
        </w:rPr>
        <w:footnoteReference w:id="68"/>
      </w:r>
      <w:r w:rsidR="000C0656">
        <w:rPr>
          <w:rFonts w:eastAsia="Times New Roman"/>
        </w:rPr>
        <w:t xml:space="preserve"> </w:t>
      </w:r>
      <w:r w:rsidR="00794D7C">
        <w:rPr>
          <w:rFonts w:eastAsia="Times New Roman"/>
        </w:rPr>
        <w:t xml:space="preserve"> If the court believes </w:t>
      </w:r>
      <w:r w:rsidR="00794D7C" w:rsidRPr="00794D7C">
        <w:rPr>
          <w:rFonts w:eastAsia="Times New Roman"/>
          <w:i/>
        </w:rPr>
        <w:t>Hargrave</w:t>
      </w:r>
      <w:r w:rsidR="00794D7C">
        <w:rPr>
          <w:rFonts w:eastAsia="Times New Roman"/>
        </w:rPr>
        <w:t xml:space="preserve"> intended to follow the</w:t>
      </w:r>
      <w:r w:rsidR="00F20203">
        <w:rPr>
          <w:rFonts w:eastAsia="Times New Roman"/>
        </w:rPr>
        <w:t>se cases</w:t>
      </w:r>
      <w:r w:rsidR="001F41D1">
        <w:rPr>
          <w:rFonts w:eastAsia="Times New Roman"/>
        </w:rPr>
        <w:t xml:space="preserve"> – but perhaps failed in its application of the law – the trial </w:t>
      </w:r>
      <w:r w:rsidR="00794D7C">
        <w:rPr>
          <w:rFonts w:eastAsia="Times New Roman"/>
        </w:rPr>
        <w:t>court’s ruling is more consistent.</w:t>
      </w:r>
      <w:r w:rsidR="004B1FFD">
        <w:rPr>
          <w:rStyle w:val="FootnoteReference"/>
          <w:rFonts w:eastAsia="Times New Roman"/>
        </w:rPr>
        <w:footnoteReference w:id="69"/>
      </w:r>
      <w:r w:rsidR="00794D7C">
        <w:rPr>
          <w:rFonts w:eastAsia="Times New Roman"/>
        </w:rPr>
        <w:t xml:space="preserve"> </w:t>
      </w:r>
    </w:p>
    <w:p w:rsidR="001216A9" w:rsidRDefault="001216A9" w:rsidP="0008206D">
      <w:pPr>
        <w:overflowPunct w:val="0"/>
        <w:spacing w:line="360" w:lineRule="auto"/>
        <w:ind w:firstLine="720"/>
        <w:textAlignment w:val="baseline"/>
        <w:rPr>
          <w:rFonts w:eastAsia="Times New Roman"/>
        </w:rPr>
      </w:pPr>
      <w:r>
        <w:rPr>
          <w:rFonts w:eastAsia="Times New Roman"/>
        </w:rPr>
        <w:t xml:space="preserve">On appeal, citing </w:t>
      </w:r>
      <w:r w:rsidRPr="001216A9">
        <w:rPr>
          <w:rFonts w:eastAsia="Times New Roman"/>
          <w:i/>
        </w:rPr>
        <w:t>Hargrave</w:t>
      </w:r>
      <w:r>
        <w:rPr>
          <w:rFonts w:eastAsia="Times New Roman"/>
        </w:rPr>
        <w:t xml:space="preserve">, the </w:t>
      </w:r>
      <w:r w:rsidR="006531E1">
        <w:rPr>
          <w:rFonts w:eastAsia="Times New Roman"/>
        </w:rPr>
        <w:t xml:space="preserve">Court of Appeals </w:t>
      </w:r>
      <w:r>
        <w:rPr>
          <w:rFonts w:eastAsia="Times New Roman"/>
        </w:rPr>
        <w:t>wrote that the trial court’s determination of whether demand is futile “lies within the discretion of the trial court.”</w:t>
      </w:r>
      <w:r w:rsidR="00452A6E">
        <w:rPr>
          <w:rStyle w:val="FootnoteReference"/>
          <w:rFonts w:eastAsia="Times New Roman"/>
        </w:rPr>
        <w:footnoteReference w:id="70"/>
      </w:r>
      <w:r>
        <w:rPr>
          <w:rFonts w:eastAsia="Times New Roman"/>
        </w:rPr>
        <w:t xml:space="preserve">  The </w:t>
      </w:r>
      <w:r w:rsidR="006531E1">
        <w:rPr>
          <w:rFonts w:eastAsia="Times New Roman"/>
        </w:rPr>
        <w:t>C</w:t>
      </w:r>
      <w:r>
        <w:rPr>
          <w:rFonts w:eastAsia="Times New Roman"/>
        </w:rPr>
        <w:t>ourt noted that it reviewed the record, “which includes extensive citation to the Delaware law from which Oklahoma derived its General Corporation Act.”</w:t>
      </w:r>
      <w:r w:rsidR="005C48F3">
        <w:rPr>
          <w:rStyle w:val="FootnoteReference"/>
          <w:rFonts w:eastAsia="Times New Roman"/>
        </w:rPr>
        <w:footnoteReference w:id="71"/>
      </w:r>
      <w:r>
        <w:rPr>
          <w:rFonts w:eastAsia="Times New Roman"/>
        </w:rPr>
        <w:t xml:space="preserve">  It then held that the trial court did not “manifestly err or abuse its discretion” in requiring that </w:t>
      </w:r>
      <w:r>
        <w:rPr>
          <w:rFonts w:eastAsia="Times New Roman"/>
        </w:rPr>
        <w:lastRenderedPageBreak/>
        <w:t>plaintiffs make demand.</w:t>
      </w:r>
      <w:r w:rsidR="005C48F3">
        <w:rPr>
          <w:rStyle w:val="FootnoteReference"/>
          <w:rFonts w:eastAsia="Times New Roman"/>
        </w:rPr>
        <w:footnoteReference w:id="72"/>
      </w:r>
      <w:r>
        <w:rPr>
          <w:rFonts w:eastAsia="Times New Roman"/>
        </w:rPr>
        <w:t xml:space="preserve">  Without </w:t>
      </w:r>
      <w:r w:rsidR="004459AA">
        <w:rPr>
          <w:rFonts w:eastAsia="Times New Roman"/>
        </w:rPr>
        <w:t xml:space="preserve">further </w:t>
      </w:r>
      <w:r>
        <w:rPr>
          <w:rFonts w:eastAsia="Times New Roman"/>
        </w:rPr>
        <w:t xml:space="preserve">analysis of the applicable standard for determining demand futility, the </w:t>
      </w:r>
      <w:r w:rsidR="006531E1">
        <w:rPr>
          <w:rFonts w:eastAsia="Times New Roman"/>
        </w:rPr>
        <w:t xml:space="preserve">Court of Appeals </w:t>
      </w:r>
      <w:r>
        <w:rPr>
          <w:rFonts w:eastAsia="Times New Roman"/>
        </w:rPr>
        <w:t>decision leaves the matter unresolved.  Proponents on either side of the issue can find support</w:t>
      </w:r>
      <w:r w:rsidR="004459AA">
        <w:rPr>
          <w:rFonts w:eastAsia="Times New Roman"/>
        </w:rPr>
        <w:t xml:space="preserve"> in Oklahoma</w:t>
      </w:r>
      <w:r>
        <w:rPr>
          <w:rFonts w:eastAsia="Times New Roman"/>
        </w:rPr>
        <w:t xml:space="preserve">.  </w:t>
      </w:r>
    </w:p>
    <w:p w:rsidR="00B25BC7" w:rsidRDefault="00B25BC7" w:rsidP="0008206D">
      <w:pPr>
        <w:overflowPunct w:val="0"/>
        <w:spacing w:line="360" w:lineRule="auto"/>
        <w:ind w:firstLine="720"/>
        <w:textAlignment w:val="baseline"/>
        <w:rPr>
          <w:rFonts w:eastAsia="Times New Roman"/>
        </w:rPr>
      </w:pPr>
      <w:r>
        <w:rPr>
          <w:rFonts w:eastAsia="Times New Roman"/>
        </w:rPr>
        <w:t xml:space="preserve">As plaintiffs in </w:t>
      </w:r>
      <w:proofErr w:type="spellStart"/>
      <w:r w:rsidRPr="006F4F5B">
        <w:rPr>
          <w:rFonts w:eastAsia="Times New Roman"/>
          <w:i/>
        </w:rPr>
        <w:t>In</w:t>
      </w:r>
      <w:proofErr w:type="spellEnd"/>
      <w:r w:rsidRPr="006F4F5B">
        <w:rPr>
          <w:rFonts w:eastAsia="Times New Roman"/>
          <w:i/>
        </w:rPr>
        <w:t xml:space="preserve"> Re Chesapeake Sh</w:t>
      </w:r>
      <w:r>
        <w:rPr>
          <w:rFonts w:eastAsia="Times New Roman"/>
          <w:i/>
        </w:rPr>
        <w:t>areholders Derivative Litigation</w:t>
      </w:r>
      <w:r>
        <w:rPr>
          <w:rFonts w:eastAsia="Times New Roman"/>
        </w:rPr>
        <w:t xml:space="preserve"> tried their demand excused strategy, </w:t>
      </w:r>
      <w:r w:rsidR="003336B1">
        <w:rPr>
          <w:rFonts w:eastAsia="Times New Roman"/>
        </w:rPr>
        <w:t xml:space="preserve">the </w:t>
      </w:r>
      <w:r>
        <w:rPr>
          <w:rFonts w:eastAsia="Times New Roman"/>
        </w:rPr>
        <w:t xml:space="preserve">plaintiff in </w:t>
      </w:r>
      <w:proofErr w:type="spellStart"/>
      <w:r w:rsidRPr="006F4F5B">
        <w:rPr>
          <w:rStyle w:val="Strong"/>
          <w:b w:val="0"/>
          <w:i/>
          <w:color w:val="000000"/>
          <w:szCs w:val="24"/>
        </w:rPr>
        <w:t>Egleston</w:t>
      </w:r>
      <w:proofErr w:type="spellEnd"/>
      <w:r w:rsidRPr="006F4F5B">
        <w:rPr>
          <w:rStyle w:val="Strong"/>
          <w:b w:val="0"/>
          <w:i/>
          <w:color w:val="000000"/>
          <w:szCs w:val="24"/>
        </w:rPr>
        <w:t xml:space="preserve"> v. McClendon</w:t>
      </w:r>
      <w:r w:rsidR="00087DD2">
        <w:rPr>
          <w:rStyle w:val="FootnoteReference"/>
          <w:bCs/>
          <w:i/>
          <w:szCs w:val="24"/>
        </w:rPr>
        <w:footnoteReference w:id="73"/>
      </w:r>
      <w:r>
        <w:rPr>
          <w:rStyle w:val="Strong"/>
          <w:b w:val="0"/>
          <w:color w:val="000000"/>
          <w:szCs w:val="24"/>
        </w:rPr>
        <w:t xml:space="preserve"> waited on the outcome.  </w:t>
      </w:r>
      <w:r w:rsidR="00F20203">
        <w:rPr>
          <w:rStyle w:val="Strong"/>
          <w:b w:val="0"/>
          <w:color w:val="000000"/>
          <w:szCs w:val="24"/>
        </w:rPr>
        <w:t>He</w:t>
      </w:r>
      <w:r>
        <w:rPr>
          <w:rStyle w:val="Strong"/>
          <w:b w:val="0"/>
          <w:color w:val="000000"/>
          <w:szCs w:val="24"/>
        </w:rPr>
        <w:t xml:space="preserve"> had made demand</w:t>
      </w:r>
      <w:r w:rsidR="00B433EA">
        <w:rPr>
          <w:rFonts w:eastAsia="Times New Roman"/>
        </w:rPr>
        <w:t xml:space="preserve"> </w:t>
      </w:r>
      <w:r>
        <w:rPr>
          <w:rFonts w:eastAsia="Times New Roman"/>
        </w:rPr>
        <w:t xml:space="preserve">on the Chesapeake board.  </w:t>
      </w:r>
      <w:r w:rsidR="001D1749">
        <w:rPr>
          <w:rFonts w:eastAsia="Times New Roman"/>
        </w:rPr>
        <w:t xml:space="preserve">The board responded that numerous similar lawsuits </w:t>
      </w:r>
      <w:r w:rsidR="003336B1">
        <w:rPr>
          <w:rFonts w:eastAsia="Times New Roman"/>
        </w:rPr>
        <w:t xml:space="preserve">were </w:t>
      </w:r>
      <w:r w:rsidR="001D1749">
        <w:rPr>
          <w:rFonts w:eastAsia="Times New Roman"/>
        </w:rPr>
        <w:t>pending</w:t>
      </w:r>
      <w:r w:rsidR="008A796E">
        <w:rPr>
          <w:rFonts w:eastAsia="Times New Roman"/>
        </w:rPr>
        <w:t>,</w:t>
      </w:r>
      <w:r w:rsidR="001D1749">
        <w:rPr>
          <w:rFonts w:eastAsia="Times New Roman"/>
        </w:rPr>
        <w:t xml:space="preserve"> </w:t>
      </w:r>
      <w:r w:rsidR="003336B1">
        <w:rPr>
          <w:rFonts w:eastAsia="Times New Roman"/>
        </w:rPr>
        <w:t xml:space="preserve">as were </w:t>
      </w:r>
      <w:r w:rsidR="001D1749">
        <w:rPr>
          <w:rFonts w:eastAsia="Times New Roman"/>
        </w:rPr>
        <w:t xml:space="preserve">investigations by the SEC, Department of Justice and the Michigan Attorney General.  An internal investigation by the board was also pending.  </w:t>
      </w:r>
      <w:r w:rsidR="003336B1">
        <w:rPr>
          <w:rFonts w:eastAsia="Times New Roman"/>
        </w:rPr>
        <w:t xml:space="preserve">The </w:t>
      </w:r>
      <w:r w:rsidR="001D1749">
        <w:rPr>
          <w:rFonts w:eastAsia="Times New Roman"/>
        </w:rPr>
        <w:t xml:space="preserve">board chose to defer action on </w:t>
      </w:r>
      <w:r w:rsidR="003B2FFD">
        <w:rPr>
          <w:rFonts w:eastAsia="Times New Roman"/>
        </w:rPr>
        <w:t xml:space="preserve">plaintiff’s </w:t>
      </w:r>
      <w:r w:rsidR="001D1749">
        <w:rPr>
          <w:rFonts w:eastAsia="Times New Roman"/>
        </w:rPr>
        <w:t xml:space="preserve">demand pending the outcomes of these proceedings and investigations. </w:t>
      </w:r>
      <w:r w:rsidR="002C3691">
        <w:rPr>
          <w:rFonts w:eastAsia="Times New Roman"/>
        </w:rPr>
        <w:t xml:space="preserve"> Plaintiff then filed suit derivatively alleging various fiduciary breaches by McClendon and the board</w:t>
      </w:r>
      <w:r w:rsidR="00E53905">
        <w:rPr>
          <w:rFonts w:eastAsia="Times New Roman"/>
        </w:rPr>
        <w:t xml:space="preserve"> and </w:t>
      </w:r>
      <w:r w:rsidR="00CE6513">
        <w:rPr>
          <w:rFonts w:eastAsia="Times New Roman"/>
        </w:rPr>
        <w:t xml:space="preserve">claiming </w:t>
      </w:r>
      <w:r w:rsidR="00E53905">
        <w:rPr>
          <w:rFonts w:eastAsia="Times New Roman"/>
        </w:rPr>
        <w:t xml:space="preserve">that the board’s decision to defer action was a breach of </w:t>
      </w:r>
      <w:r w:rsidR="003B2FFD">
        <w:rPr>
          <w:rFonts w:eastAsia="Times New Roman"/>
        </w:rPr>
        <w:t xml:space="preserve">its </w:t>
      </w:r>
      <w:r w:rsidR="00E53905">
        <w:rPr>
          <w:rFonts w:eastAsia="Times New Roman"/>
        </w:rPr>
        <w:t>business judgment</w:t>
      </w:r>
      <w:r w:rsidR="002C3691">
        <w:rPr>
          <w:rFonts w:eastAsia="Times New Roman"/>
        </w:rPr>
        <w:t xml:space="preserve">.  </w:t>
      </w:r>
    </w:p>
    <w:p w:rsidR="00E53905" w:rsidRDefault="00CE6513" w:rsidP="0008206D">
      <w:pPr>
        <w:overflowPunct w:val="0"/>
        <w:spacing w:line="360" w:lineRule="auto"/>
        <w:ind w:firstLine="720"/>
        <w:textAlignment w:val="baseline"/>
        <w:rPr>
          <w:rFonts w:eastAsia="Times New Roman"/>
        </w:rPr>
      </w:pPr>
      <w:r>
        <w:rPr>
          <w:rFonts w:eastAsia="Times New Roman"/>
        </w:rPr>
        <w:t>The board filed a motion to dismiss</w:t>
      </w:r>
      <w:r w:rsidR="003B2FFD">
        <w:rPr>
          <w:rFonts w:eastAsia="Times New Roman"/>
        </w:rPr>
        <w:t xml:space="preserve">.  It cited </w:t>
      </w:r>
      <w:r>
        <w:rPr>
          <w:rFonts w:eastAsia="Times New Roman"/>
        </w:rPr>
        <w:t>the other pending legal proceedings involving similar claims and assert</w:t>
      </w:r>
      <w:r w:rsidR="003B2FFD">
        <w:rPr>
          <w:rFonts w:eastAsia="Times New Roman"/>
        </w:rPr>
        <w:t>ed</w:t>
      </w:r>
      <w:r>
        <w:rPr>
          <w:rFonts w:eastAsia="Times New Roman"/>
        </w:rPr>
        <w:t xml:space="preserve"> that its decision to defer action pending the outcomes of these other legal proceedings was a valid exercise of </w:t>
      </w:r>
      <w:r w:rsidR="003B2FFD">
        <w:rPr>
          <w:rFonts w:eastAsia="Times New Roman"/>
        </w:rPr>
        <w:t>its</w:t>
      </w:r>
      <w:r>
        <w:rPr>
          <w:rFonts w:eastAsia="Times New Roman"/>
        </w:rPr>
        <w:t xml:space="preserve"> business judgment.</w:t>
      </w:r>
      <w:r w:rsidR="00823C35">
        <w:rPr>
          <w:rFonts w:eastAsia="Times New Roman"/>
        </w:rPr>
        <w:t xml:space="preserve"> </w:t>
      </w:r>
      <w:r w:rsidR="00373B59">
        <w:rPr>
          <w:rFonts w:eastAsia="Times New Roman"/>
        </w:rPr>
        <w:t xml:space="preserve">It argued that </w:t>
      </w:r>
      <w:r w:rsidR="006531E1">
        <w:rPr>
          <w:rFonts w:eastAsia="Times New Roman"/>
        </w:rPr>
        <w:t xml:space="preserve">Plaintiff’s demand had conceded the board’s </w:t>
      </w:r>
      <w:r w:rsidR="00823C35">
        <w:rPr>
          <w:rFonts w:eastAsia="Times New Roman"/>
        </w:rPr>
        <w:t>independence</w:t>
      </w:r>
      <w:r w:rsidR="006531E1">
        <w:rPr>
          <w:rFonts w:eastAsia="Times New Roman"/>
        </w:rPr>
        <w:t xml:space="preserve"> and Plaintiff had failed to plead facts sufficient to overcome the presumption of propriety afforded by the business judgment rule. </w:t>
      </w:r>
    </w:p>
    <w:p w:rsidR="00CE6513" w:rsidRDefault="00CE6513" w:rsidP="0008206D">
      <w:pPr>
        <w:overflowPunct w:val="0"/>
        <w:spacing w:line="360" w:lineRule="auto"/>
        <w:ind w:firstLine="720"/>
        <w:textAlignment w:val="baseline"/>
        <w:rPr>
          <w:rFonts w:eastAsia="Times New Roman"/>
        </w:rPr>
      </w:pPr>
      <w:r>
        <w:rPr>
          <w:rFonts w:eastAsia="Times New Roman"/>
        </w:rPr>
        <w:t>Plaintiff replied that the board</w:t>
      </w:r>
      <w:r w:rsidR="00823C35">
        <w:rPr>
          <w:rFonts w:eastAsia="Times New Roman"/>
        </w:rPr>
        <w:t xml:space="preserve">’s action </w:t>
      </w:r>
      <w:r w:rsidR="00087DD2">
        <w:rPr>
          <w:rFonts w:eastAsia="Times New Roman"/>
        </w:rPr>
        <w:t>“failed to meet the standard of good faith and [the board] did not exercise valid [business] judgment in refusing the demand.”</w:t>
      </w:r>
      <w:r w:rsidR="00087DD2">
        <w:rPr>
          <w:rStyle w:val="FootnoteReference"/>
          <w:rFonts w:eastAsia="Times New Roman"/>
        </w:rPr>
        <w:footnoteReference w:id="74"/>
      </w:r>
      <w:r w:rsidR="00087DD2">
        <w:rPr>
          <w:rFonts w:eastAsia="Times New Roman"/>
        </w:rPr>
        <w:t xml:space="preserve">  He alleged that the board’s decision </w:t>
      </w:r>
      <w:r w:rsidR="00823C35">
        <w:rPr>
          <w:rFonts w:eastAsia="Times New Roman"/>
        </w:rPr>
        <w:t xml:space="preserve">was hastily made without an </w:t>
      </w:r>
      <w:r>
        <w:rPr>
          <w:rFonts w:eastAsia="Times New Roman"/>
        </w:rPr>
        <w:t>adequate investigat</w:t>
      </w:r>
      <w:r w:rsidR="003B2FFD">
        <w:rPr>
          <w:rFonts w:eastAsia="Times New Roman"/>
        </w:rPr>
        <w:t xml:space="preserve">ion of </w:t>
      </w:r>
      <w:r>
        <w:rPr>
          <w:rFonts w:eastAsia="Times New Roman"/>
        </w:rPr>
        <w:t>the claims</w:t>
      </w:r>
      <w:r w:rsidR="00823C35">
        <w:rPr>
          <w:rFonts w:eastAsia="Times New Roman"/>
        </w:rPr>
        <w:t>, and</w:t>
      </w:r>
      <w:r>
        <w:rPr>
          <w:rFonts w:eastAsia="Times New Roman"/>
        </w:rPr>
        <w:t xml:space="preserve"> that </w:t>
      </w:r>
      <w:r w:rsidR="00823C35">
        <w:rPr>
          <w:rFonts w:eastAsia="Times New Roman"/>
        </w:rPr>
        <w:t xml:space="preserve">the board’s </w:t>
      </w:r>
      <w:r w:rsidR="003B2FFD">
        <w:rPr>
          <w:rFonts w:eastAsia="Times New Roman"/>
        </w:rPr>
        <w:t xml:space="preserve">independence was compromised since its </w:t>
      </w:r>
      <w:r w:rsidR="00823C35">
        <w:rPr>
          <w:rFonts w:eastAsia="Times New Roman"/>
        </w:rPr>
        <w:t xml:space="preserve">decision was made in the presence of directors who were involved in the claims. </w:t>
      </w:r>
    </w:p>
    <w:p w:rsidR="00823C35" w:rsidRDefault="00823C35" w:rsidP="0008206D">
      <w:pPr>
        <w:overflowPunct w:val="0"/>
        <w:spacing w:line="360" w:lineRule="auto"/>
        <w:ind w:firstLine="720"/>
        <w:textAlignment w:val="baseline"/>
        <w:rPr>
          <w:rFonts w:eastAsia="Times New Roman"/>
        </w:rPr>
      </w:pPr>
      <w:r>
        <w:rPr>
          <w:rFonts w:eastAsia="Times New Roman"/>
        </w:rPr>
        <w:t xml:space="preserve">The trial court held that the board’s decision to defer action was a proper business judgment.  Plaintiff appealed. </w:t>
      </w:r>
    </w:p>
    <w:p w:rsidR="00823C35" w:rsidRDefault="00087DD2" w:rsidP="0008206D">
      <w:pPr>
        <w:overflowPunct w:val="0"/>
        <w:spacing w:line="360" w:lineRule="auto"/>
        <w:ind w:firstLine="720"/>
        <w:textAlignment w:val="baseline"/>
        <w:rPr>
          <w:rFonts w:eastAsia="Times New Roman"/>
        </w:rPr>
      </w:pPr>
      <w:r>
        <w:rPr>
          <w:rFonts w:eastAsia="Times New Roman"/>
        </w:rPr>
        <w:lastRenderedPageBreak/>
        <w:t xml:space="preserve">The Court of Appeals began its analysis by reviewing the nature of shareholder derivative actions, the need for demand, and – when demand is made </w:t>
      </w:r>
      <w:r>
        <w:rPr>
          <w:rFonts w:eastAsia="Times New Roman"/>
        </w:rPr>
        <w:noBreakHyphen/>
        <w:t xml:space="preserve"> the basis for determining whether the board’s response </w:t>
      </w:r>
      <w:r w:rsidR="00836025">
        <w:rPr>
          <w:rFonts w:eastAsia="Times New Roman"/>
        </w:rPr>
        <w:t xml:space="preserve">to the demand </w:t>
      </w:r>
      <w:r>
        <w:rPr>
          <w:rFonts w:eastAsia="Times New Roman"/>
        </w:rPr>
        <w:t>is appropriate.  Regarding the latter, the Court writes that the board’s response is protected by the business judgment rule.  The rule presumes that the board “acted on an informed basis, in good faith and in the ho</w:t>
      </w:r>
      <w:r w:rsidR="00836025">
        <w:rPr>
          <w:rFonts w:eastAsia="Times New Roman"/>
        </w:rPr>
        <w:t>ne</w:t>
      </w:r>
      <w:r>
        <w:rPr>
          <w:rFonts w:eastAsia="Times New Roman"/>
        </w:rPr>
        <w:t>st belief that the action taken was in the best interests of the company and its shareholders.”</w:t>
      </w:r>
      <w:r w:rsidR="00836025">
        <w:rPr>
          <w:rStyle w:val="FootnoteReference"/>
          <w:rFonts w:eastAsia="Times New Roman"/>
        </w:rPr>
        <w:footnoteReference w:id="75"/>
      </w:r>
      <w:r w:rsidR="00836025">
        <w:rPr>
          <w:rFonts w:eastAsia="Times New Roman"/>
        </w:rPr>
        <w:t xml:space="preserve">  In assessing compliance with the business judgment rule, “the issues before the Court are independence, the reasonableness of its investigation and good faith,” and “when a board refuses a demand, the only issues to be examined are the good faith and reasonableness of its investigation.”</w:t>
      </w:r>
      <w:r w:rsidR="0071137B">
        <w:rPr>
          <w:rStyle w:val="FootnoteReference"/>
          <w:rFonts w:eastAsia="Times New Roman"/>
        </w:rPr>
        <w:footnoteReference w:id="76"/>
      </w:r>
      <w:r w:rsidR="00836025">
        <w:rPr>
          <w:rFonts w:eastAsia="Times New Roman"/>
        </w:rPr>
        <w:t xml:space="preserve">  </w:t>
      </w:r>
    </w:p>
    <w:p w:rsidR="00B25BC7" w:rsidRDefault="0071137B" w:rsidP="0008206D">
      <w:pPr>
        <w:overflowPunct w:val="0"/>
        <w:spacing w:line="360" w:lineRule="auto"/>
        <w:ind w:firstLine="720"/>
        <w:textAlignment w:val="baseline"/>
        <w:rPr>
          <w:rFonts w:eastAsia="Times New Roman"/>
        </w:rPr>
      </w:pPr>
      <w:r>
        <w:rPr>
          <w:rFonts w:eastAsia="Times New Roman"/>
        </w:rPr>
        <w:t>While the general rule is that making demand acknowledges a board’s independence,</w:t>
      </w:r>
      <w:r w:rsidRPr="0071137B">
        <w:rPr>
          <w:rStyle w:val="FootnoteReference"/>
          <w:rFonts w:eastAsia="Times New Roman"/>
        </w:rPr>
        <w:t xml:space="preserve"> </w:t>
      </w:r>
      <w:r>
        <w:rPr>
          <w:rStyle w:val="FootnoteReference"/>
          <w:rFonts w:eastAsia="Times New Roman"/>
        </w:rPr>
        <w:footnoteReference w:id="77"/>
      </w:r>
      <w:r>
        <w:rPr>
          <w:rFonts w:eastAsia="Times New Roman"/>
        </w:rPr>
        <w:t xml:space="preserve"> plaintiff questioned the board’s independence on several grounds.  He </w:t>
      </w:r>
      <w:r w:rsidR="003B4871">
        <w:rPr>
          <w:rFonts w:eastAsia="Times New Roman"/>
        </w:rPr>
        <w:t>argued that the board could not properly review McClendon’s allegedly excessive executive compensation because the board had approved his compensation and were tainted by the allegedly excessive compensation they had approved for themselves.  But the Court noted these arguments had been made in numerous earlier cases to no avail.</w:t>
      </w:r>
      <w:r w:rsidR="003B4871">
        <w:rPr>
          <w:rStyle w:val="FootnoteReference"/>
          <w:rFonts w:eastAsia="Times New Roman"/>
        </w:rPr>
        <w:footnoteReference w:id="78"/>
      </w:r>
      <w:r w:rsidR="003B4871">
        <w:rPr>
          <w:rFonts w:eastAsia="Times New Roman"/>
        </w:rPr>
        <w:t xml:space="preserve">  </w:t>
      </w:r>
      <w:proofErr w:type="gramStart"/>
      <w:r w:rsidR="003B4871">
        <w:rPr>
          <w:rFonts w:eastAsia="Times New Roman"/>
        </w:rPr>
        <w:t>A board’s approval of compensation, including its own, “will be upheld unless it cannot be ‘attributed to any rational business purpose.’”</w:t>
      </w:r>
      <w:proofErr w:type="gramEnd"/>
      <w:r w:rsidR="003B4871">
        <w:rPr>
          <w:rStyle w:val="FootnoteReference"/>
          <w:rFonts w:eastAsia="Times New Roman"/>
        </w:rPr>
        <w:footnoteReference w:id="79"/>
      </w:r>
    </w:p>
    <w:p w:rsidR="00B25BC7" w:rsidRDefault="003F2D74" w:rsidP="0008206D">
      <w:pPr>
        <w:overflowPunct w:val="0"/>
        <w:spacing w:line="360" w:lineRule="auto"/>
        <w:ind w:firstLine="720"/>
        <w:textAlignment w:val="baseline"/>
        <w:rPr>
          <w:rFonts w:eastAsia="Times New Roman"/>
        </w:rPr>
      </w:pPr>
      <w:r>
        <w:rPr>
          <w:rFonts w:eastAsia="Times New Roman"/>
        </w:rPr>
        <w:t xml:space="preserve">Plaintiff further argued that McClendon’s relationships with the directors compromised their independence.  The Court wrote that the law on this issue is also well established.  The mere proof of a relationship is insufficient.  The facts must show that a </w:t>
      </w:r>
      <w:r>
        <w:rPr>
          <w:rFonts w:eastAsia="Times New Roman"/>
        </w:rPr>
        <w:lastRenderedPageBreak/>
        <w:t>director is “beholden” to the other to prove a lack of independence.</w:t>
      </w:r>
      <w:r w:rsidR="00072F38">
        <w:rPr>
          <w:rStyle w:val="FootnoteReference"/>
          <w:rFonts w:eastAsia="Times New Roman"/>
        </w:rPr>
        <w:footnoteReference w:id="80"/>
      </w:r>
      <w:r>
        <w:rPr>
          <w:rFonts w:eastAsia="Times New Roman"/>
        </w:rPr>
        <w:t xml:space="preserve">  Plaintiff had not made that showing.  </w:t>
      </w:r>
    </w:p>
    <w:p w:rsidR="00C36539" w:rsidRDefault="003F2D74" w:rsidP="0008206D">
      <w:pPr>
        <w:overflowPunct w:val="0"/>
        <w:spacing w:line="360" w:lineRule="auto"/>
        <w:ind w:firstLine="720"/>
        <w:textAlignment w:val="baseline"/>
        <w:rPr>
          <w:rFonts w:eastAsia="Times New Roman"/>
        </w:rPr>
      </w:pPr>
      <w:r>
        <w:rPr>
          <w:rFonts w:eastAsia="Times New Roman"/>
        </w:rPr>
        <w:t>To attack the board’s good faith and reasonableness, Plaintiff argued that the board conduct</w:t>
      </w:r>
      <w:r w:rsidR="00C36539">
        <w:rPr>
          <w:rFonts w:eastAsia="Times New Roman"/>
        </w:rPr>
        <w:t>ed</w:t>
      </w:r>
      <w:r>
        <w:rPr>
          <w:rFonts w:eastAsia="Times New Roman"/>
        </w:rPr>
        <w:t xml:space="preserve"> no investigation, it did not appoint a special litigation committee</w:t>
      </w:r>
      <w:r w:rsidR="00C36539">
        <w:rPr>
          <w:rFonts w:eastAsia="Times New Roman"/>
        </w:rPr>
        <w:t>, and it did not excuse McClendon and certain former Board members from the discussions although allegations of wrongdoing were made again these persons.</w:t>
      </w:r>
      <w:r w:rsidR="004B74ED">
        <w:rPr>
          <w:rFonts w:eastAsia="Times New Roman"/>
        </w:rPr>
        <w:t xml:space="preserve">  </w:t>
      </w:r>
      <w:r w:rsidR="00C36539">
        <w:rPr>
          <w:rFonts w:eastAsia="Times New Roman"/>
        </w:rPr>
        <w:t xml:space="preserve">The Court </w:t>
      </w:r>
      <w:r w:rsidR="004B74ED">
        <w:rPr>
          <w:rFonts w:eastAsia="Times New Roman"/>
        </w:rPr>
        <w:t>replied</w:t>
      </w:r>
      <w:r w:rsidR="00C36539">
        <w:rPr>
          <w:rFonts w:eastAsia="Times New Roman"/>
        </w:rPr>
        <w:t xml:space="preserve"> that no specific procedures are required to respond to a demand.</w:t>
      </w:r>
      <w:r w:rsidR="003E26A5">
        <w:rPr>
          <w:rStyle w:val="FootnoteReference"/>
          <w:rFonts w:eastAsia="Times New Roman"/>
        </w:rPr>
        <w:footnoteReference w:id="81"/>
      </w:r>
      <w:r w:rsidR="00C36539">
        <w:rPr>
          <w:rFonts w:eastAsia="Times New Roman"/>
        </w:rPr>
        <w:t xml:space="preserve">  In this instance, the board was familiar with the allegations since the</w:t>
      </w:r>
      <w:r w:rsidR="00D73338">
        <w:rPr>
          <w:rFonts w:eastAsia="Times New Roman"/>
        </w:rPr>
        <w:t xml:space="preserve"> allegations were the same as those in earlier </w:t>
      </w:r>
      <w:r w:rsidR="00C36539">
        <w:rPr>
          <w:rFonts w:eastAsia="Times New Roman"/>
        </w:rPr>
        <w:t>legal proceedings and investigations.  The board was sufficiently informed to act.</w:t>
      </w:r>
      <w:r w:rsidR="003E26A5">
        <w:rPr>
          <w:rStyle w:val="FootnoteReference"/>
          <w:rFonts w:eastAsia="Times New Roman"/>
        </w:rPr>
        <w:footnoteReference w:id="82"/>
      </w:r>
    </w:p>
    <w:p w:rsidR="00C36539" w:rsidRDefault="00D73338" w:rsidP="0008206D">
      <w:pPr>
        <w:overflowPunct w:val="0"/>
        <w:spacing w:line="360" w:lineRule="auto"/>
        <w:ind w:firstLine="720"/>
        <w:textAlignment w:val="baseline"/>
        <w:rPr>
          <w:rFonts w:eastAsia="Times New Roman"/>
        </w:rPr>
      </w:pPr>
      <w:r>
        <w:rPr>
          <w:rFonts w:eastAsia="Times New Roman"/>
        </w:rPr>
        <w:t xml:space="preserve">The Court also held that the board’s decision to defer action was supported by valid purposes.  Since the same allegations were already contested, deferring action would avoid duplication and conserve resources. </w:t>
      </w:r>
      <w:r w:rsidR="00EB7D91">
        <w:rPr>
          <w:rFonts w:eastAsia="Times New Roman"/>
        </w:rPr>
        <w:t xml:space="preserve"> </w:t>
      </w:r>
      <w:r>
        <w:rPr>
          <w:rFonts w:eastAsia="Times New Roman"/>
        </w:rPr>
        <w:t>In fact, the Court noted, the failure to defer could have compromised the corporation’s position in the other proceedings.  For these reasons, the Court found the board’s decision to defer was a “reasonable exercise of business judgment.”</w:t>
      </w:r>
      <w:r>
        <w:rPr>
          <w:rStyle w:val="FootnoteReference"/>
          <w:rFonts w:eastAsia="Times New Roman"/>
        </w:rPr>
        <w:footnoteReference w:id="83"/>
      </w:r>
    </w:p>
    <w:p w:rsidR="00BC2437" w:rsidRDefault="00CA410C" w:rsidP="00BC2437">
      <w:pPr>
        <w:overflowPunct w:val="0"/>
        <w:spacing w:line="360" w:lineRule="auto"/>
        <w:ind w:firstLine="720"/>
        <w:textAlignment w:val="baseline"/>
        <w:rPr>
          <w:rStyle w:val="Strong"/>
          <w:b w:val="0"/>
          <w:color w:val="000000"/>
          <w:szCs w:val="24"/>
        </w:rPr>
      </w:pPr>
      <w:r>
        <w:rPr>
          <w:rStyle w:val="Strong"/>
          <w:b w:val="0"/>
          <w:color w:val="000000"/>
          <w:szCs w:val="24"/>
        </w:rPr>
        <w:t xml:space="preserve">The last two Oklahoma cases are easier to digest.  </w:t>
      </w:r>
      <w:r w:rsidR="00BC2437" w:rsidRPr="00BC2437">
        <w:rPr>
          <w:rStyle w:val="Strong"/>
          <w:b w:val="0"/>
          <w:i/>
          <w:color w:val="000000"/>
          <w:szCs w:val="24"/>
        </w:rPr>
        <w:t>Southlake Equipment Co., Inc. v. Henson Gravel &amp; Sand, LLC</w:t>
      </w:r>
      <w:r w:rsidRPr="00CA410C">
        <w:rPr>
          <w:rStyle w:val="FootnoteReference"/>
          <w:bCs/>
          <w:szCs w:val="24"/>
        </w:rPr>
        <w:footnoteReference w:id="84"/>
      </w:r>
      <w:r w:rsidRPr="00CA410C">
        <w:rPr>
          <w:rStyle w:val="Strong"/>
          <w:b w:val="0"/>
          <w:color w:val="000000"/>
          <w:szCs w:val="24"/>
        </w:rPr>
        <w:t xml:space="preserve"> deals with charging orders in limited liability companies.  </w:t>
      </w:r>
      <w:r>
        <w:rPr>
          <w:rStyle w:val="Strong"/>
          <w:b w:val="0"/>
          <w:color w:val="000000"/>
          <w:szCs w:val="24"/>
        </w:rPr>
        <w:t>In LLCs, the judgment creditor of an LLC member cannot attach and execute on the interest.</w:t>
      </w:r>
      <w:r w:rsidR="00B72D01">
        <w:rPr>
          <w:rStyle w:val="FootnoteReference"/>
          <w:bCs/>
          <w:szCs w:val="24"/>
        </w:rPr>
        <w:footnoteReference w:id="85"/>
      </w:r>
      <w:r>
        <w:rPr>
          <w:rStyle w:val="Strong"/>
          <w:b w:val="0"/>
          <w:color w:val="000000"/>
          <w:szCs w:val="24"/>
        </w:rPr>
        <w:t xml:space="preserve">  In a corporation, the judgment creditor </w:t>
      </w:r>
      <w:r w:rsidR="00DD6622">
        <w:rPr>
          <w:rStyle w:val="Strong"/>
          <w:b w:val="0"/>
          <w:color w:val="000000"/>
          <w:szCs w:val="24"/>
        </w:rPr>
        <w:t xml:space="preserve">of a shareholder </w:t>
      </w:r>
      <w:r>
        <w:rPr>
          <w:rStyle w:val="Strong"/>
          <w:b w:val="0"/>
          <w:color w:val="000000"/>
          <w:szCs w:val="24"/>
        </w:rPr>
        <w:t>c</w:t>
      </w:r>
      <w:r w:rsidR="00DD6622">
        <w:rPr>
          <w:rStyle w:val="Strong"/>
          <w:b w:val="0"/>
          <w:color w:val="000000"/>
          <w:szCs w:val="24"/>
        </w:rPr>
        <w:t>an</w:t>
      </w:r>
      <w:r>
        <w:rPr>
          <w:rStyle w:val="Strong"/>
          <w:b w:val="0"/>
          <w:color w:val="000000"/>
          <w:szCs w:val="24"/>
        </w:rPr>
        <w:t xml:space="preserve"> attach and execute on a shareholder’s stock.  This distinction between LLCs and corporations rests on the </w:t>
      </w:r>
      <w:r w:rsidR="001A685E">
        <w:rPr>
          <w:rStyle w:val="Strong"/>
          <w:b w:val="0"/>
          <w:color w:val="000000"/>
          <w:szCs w:val="24"/>
        </w:rPr>
        <w:t xml:space="preserve">venerable </w:t>
      </w:r>
      <w:r>
        <w:rPr>
          <w:rStyle w:val="Strong"/>
          <w:b w:val="0"/>
          <w:color w:val="000000"/>
          <w:szCs w:val="24"/>
        </w:rPr>
        <w:t xml:space="preserve">notion that </w:t>
      </w:r>
      <w:r w:rsidR="001A685E">
        <w:rPr>
          <w:rStyle w:val="Strong"/>
          <w:b w:val="0"/>
          <w:color w:val="000000"/>
          <w:szCs w:val="24"/>
        </w:rPr>
        <w:t>LLC interests</w:t>
      </w:r>
      <w:r w:rsidR="00DD6622">
        <w:rPr>
          <w:rStyle w:val="Strong"/>
          <w:b w:val="0"/>
          <w:color w:val="000000"/>
          <w:szCs w:val="24"/>
        </w:rPr>
        <w:t>, like partnership interests,</w:t>
      </w:r>
      <w:r w:rsidR="001A685E">
        <w:rPr>
          <w:rStyle w:val="Strong"/>
          <w:b w:val="0"/>
          <w:color w:val="000000"/>
          <w:szCs w:val="24"/>
        </w:rPr>
        <w:t xml:space="preserve"> are presumed to be non-transferable while corporate stock is presumed to be transferable.  If execution were permitted, judicial transfers of the LLC interests </w:t>
      </w:r>
      <w:r w:rsidR="00AD5420">
        <w:rPr>
          <w:rStyle w:val="Strong"/>
          <w:b w:val="0"/>
          <w:color w:val="000000"/>
          <w:szCs w:val="24"/>
        </w:rPr>
        <w:t>c</w:t>
      </w:r>
      <w:r w:rsidR="001A685E">
        <w:rPr>
          <w:rStyle w:val="Strong"/>
          <w:b w:val="0"/>
          <w:color w:val="000000"/>
          <w:szCs w:val="24"/>
        </w:rPr>
        <w:t xml:space="preserve">ould </w:t>
      </w:r>
      <w:r w:rsidR="00AD5420">
        <w:rPr>
          <w:rStyle w:val="Strong"/>
          <w:b w:val="0"/>
          <w:color w:val="000000"/>
          <w:szCs w:val="24"/>
        </w:rPr>
        <w:t>occur and</w:t>
      </w:r>
      <w:r w:rsidR="001A685E">
        <w:rPr>
          <w:rStyle w:val="Strong"/>
          <w:b w:val="0"/>
          <w:color w:val="000000"/>
          <w:szCs w:val="24"/>
        </w:rPr>
        <w:t xml:space="preserve"> the remaining members </w:t>
      </w:r>
      <w:r w:rsidR="001A685E">
        <w:rPr>
          <w:rStyle w:val="Strong"/>
          <w:b w:val="0"/>
          <w:color w:val="000000"/>
          <w:szCs w:val="24"/>
        </w:rPr>
        <w:lastRenderedPageBreak/>
        <w:t>might face a new member whom they had not anticipated and did not want.  To protect these members, the statute provide</w:t>
      </w:r>
      <w:r w:rsidR="00B72D01">
        <w:rPr>
          <w:rStyle w:val="Strong"/>
          <w:b w:val="0"/>
          <w:color w:val="000000"/>
          <w:szCs w:val="24"/>
        </w:rPr>
        <w:t>s</w:t>
      </w:r>
      <w:r w:rsidR="001A685E">
        <w:rPr>
          <w:rStyle w:val="Strong"/>
          <w:b w:val="0"/>
          <w:color w:val="000000"/>
          <w:szCs w:val="24"/>
        </w:rPr>
        <w:t xml:space="preserve"> that the exclusive remedy of a creditor holding a judgment against a </w:t>
      </w:r>
      <w:r w:rsidR="00B72D01">
        <w:rPr>
          <w:rStyle w:val="Strong"/>
          <w:b w:val="0"/>
          <w:color w:val="000000"/>
          <w:szCs w:val="24"/>
        </w:rPr>
        <w:t xml:space="preserve">debtor </w:t>
      </w:r>
      <w:r w:rsidR="001A685E">
        <w:rPr>
          <w:rStyle w:val="Strong"/>
          <w:b w:val="0"/>
          <w:color w:val="000000"/>
          <w:szCs w:val="24"/>
        </w:rPr>
        <w:t>member is a charging order.</w:t>
      </w:r>
      <w:r w:rsidR="00DD6622">
        <w:rPr>
          <w:rStyle w:val="FootnoteReference"/>
          <w:bCs/>
          <w:szCs w:val="24"/>
        </w:rPr>
        <w:footnoteReference w:id="86"/>
      </w:r>
      <w:r w:rsidR="001A685E">
        <w:rPr>
          <w:rStyle w:val="Strong"/>
          <w:b w:val="0"/>
          <w:color w:val="000000"/>
          <w:szCs w:val="24"/>
        </w:rPr>
        <w:t xml:space="preserve">  A charging order requires the LLC to pay to the judgment creditor any distributions that would otherwise have been paid to the debtor member.  The judgment creditor is limited to these distributions.  It cannot attach and sell the interest itself. </w:t>
      </w:r>
    </w:p>
    <w:p w:rsidR="00CA410C" w:rsidRDefault="001A685E" w:rsidP="00BC2437">
      <w:pPr>
        <w:overflowPunct w:val="0"/>
        <w:spacing w:line="360" w:lineRule="auto"/>
        <w:ind w:firstLine="720"/>
        <w:textAlignment w:val="baseline"/>
        <w:rPr>
          <w:rStyle w:val="Strong"/>
          <w:b w:val="0"/>
          <w:color w:val="000000"/>
          <w:szCs w:val="24"/>
        </w:rPr>
      </w:pPr>
      <w:r>
        <w:rPr>
          <w:rStyle w:val="Strong"/>
          <w:b w:val="0"/>
          <w:color w:val="000000"/>
          <w:szCs w:val="24"/>
        </w:rPr>
        <w:t xml:space="preserve">In </w:t>
      </w:r>
      <w:r w:rsidRPr="002A79EF">
        <w:rPr>
          <w:rStyle w:val="Strong"/>
          <w:b w:val="0"/>
          <w:i/>
          <w:color w:val="000000"/>
          <w:szCs w:val="24"/>
        </w:rPr>
        <w:t>Southlake</w:t>
      </w:r>
      <w:r>
        <w:rPr>
          <w:rStyle w:val="Strong"/>
          <w:b w:val="0"/>
          <w:color w:val="000000"/>
          <w:szCs w:val="24"/>
        </w:rPr>
        <w:t xml:space="preserve">, </w:t>
      </w:r>
      <w:r w:rsidR="002A79EF">
        <w:rPr>
          <w:rStyle w:val="Strong"/>
          <w:b w:val="0"/>
          <w:color w:val="000000"/>
          <w:szCs w:val="24"/>
        </w:rPr>
        <w:t xml:space="preserve">Southlake Equipment Company, Inc. obtained an agreed judgment against Melvin Henson and Henson Gravel &amp; Sand, LLC and sought to execute upon the judgment by asking the district court to order the seizure of Melvin Henson’s 24% interest in </w:t>
      </w:r>
      <w:proofErr w:type="spellStart"/>
      <w:r w:rsidR="002A79EF">
        <w:rPr>
          <w:rStyle w:val="Strong"/>
          <w:b w:val="0"/>
          <w:color w:val="000000"/>
          <w:szCs w:val="24"/>
        </w:rPr>
        <w:t>Econtuchka</w:t>
      </w:r>
      <w:proofErr w:type="spellEnd"/>
      <w:r w:rsidR="002A79EF">
        <w:rPr>
          <w:rStyle w:val="Strong"/>
          <w:b w:val="0"/>
          <w:color w:val="000000"/>
          <w:szCs w:val="24"/>
        </w:rPr>
        <w:t xml:space="preserve"> Erosion Control, LLC, an Oklahoma limited liability company (“</w:t>
      </w:r>
      <w:r w:rsidR="002A79EF" w:rsidRPr="002A79EF">
        <w:rPr>
          <w:rStyle w:val="Strong"/>
          <w:b w:val="0"/>
          <w:i/>
          <w:color w:val="000000"/>
          <w:szCs w:val="24"/>
        </w:rPr>
        <w:t>EEC</w:t>
      </w:r>
      <w:r w:rsidR="002A79EF">
        <w:rPr>
          <w:rStyle w:val="Strong"/>
          <w:b w:val="0"/>
          <w:color w:val="000000"/>
          <w:szCs w:val="24"/>
        </w:rPr>
        <w:t>”).  The trial court complied and order</w:t>
      </w:r>
      <w:r w:rsidR="00205A98">
        <w:rPr>
          <w:rStyle w:val="Strong"/>
          <w:b w:val="0"/>
          <w:color w:val="000000"/>
          <w:szCs w:val="24"/>
        </w:rPr>
        <w:t>ed</w:t>
      </w:r>
      <w:r w:rsidR="002A79EF">
        <w:rPr>
          <w:rStyle w:val="Strong"/>
          <w:b w:val="0"/>
          <w:color w:val="000000"/>
          <w:szCs w:val="24"/>
        </w:rPr>
        <w:t xml:space="preserve"> the transfer of Henson’s entire membership interest in EEC to Southlake.  </w:t>
      </w:r>
      <w:r w:rsidR="00B72D01">
        <w:rPr>
          <w:rStyle w:val="Strong"/>
          <w:b w:val="0"/>
          <w:color w:val="000000"/>
          <w:szCs w:val="24"/>
        </w:rPr>
        <w:t xml:space="preserve">Henson appealed. </w:t>
      </w:r>
    </w:p>
    <w:p w:rsidR="00B72D01" w:rsidRDefault="00B72D01" w:rsidP="00BC2437">
      <w:pPr>
        <w:overflowPunct w:val="0"/>
        <w:spacing w:line="360" w:lineRule="auto"/>
        <w:ind w:firstLine="720"/>
        <w:textAlignment w:val="baseline"/>
        <w:rPr>
          <w:rStyle w:val="Strong"/>
          <w:b w:val="0"/>
          <w:color w:val="000000"/>
          <w:szCs w:val="24"/>
        </w:rPr>
      </w:pPr>
      <w:r>
        <w:rPr>
          <w:rStyle w:val="Strong"/>
          <w:b w:val="0"/>
          <w:color w:val="000000"/>
          <w:szCs w:val="24"/>
        </w:rPr>
        <w:t xml:space="preserve">In its analysis, the Court of Appeals turned to Section 2034 of the Oklahoma LLC Act, which deals with the rights of judgment creditors.  The Court highlighted two passages in Section 2034:  one stating that a judgment creditor has only the rights of an assignee with respect to the membership interest, and </w:t>
      </w:r>
      <w:r w:rsidR="00BE260D">
        <w:rPr>
          <w:rStyle w:val="Strong"/>
          <w:b w:val="0"/>
          <w:color w:val="000000"/>
          <w:szCs w:val="24"/>
        </w:rPr>
        <w:t xml:space="preserve">a </w:t>
      </w:r>
      <w:r>
        <w:rPr>
          <w:rStyle w:val="Strong"/>
          <w:b w:val="0"/>
          <w:color w:val="000000"/>
          <w:szCs w:val="24"/>
        </w:rPr>
        <w:t xml:space="preserve">second stating that a charging order is a judgment creditor’s exclusive remedy with </w:t>
      </w:r>
      <w:r w:rsidR="007B0287">
        <w:rPr>
          <w:rStyle w:val="Strong"/>
          <w:b w:val="0"/>
          <w:color w:val="000000"/>
          <w:szCs w:val="24"/>
        </w:rPr>
        <w:t xml:space="preserve">respect to the membership interest.  </w:t>
      </w:r>
    </w:p>
    <w:p w:rsidR="007B0287" w:rsidRDefault="007B0287" w:rsidP="00BC2437">
      <w:pPr>
        <w:overflowPunct w:val="0"/>
        <w:spacing w:line="360" w:lineRule="auto"/>
        <w:ind w:firstLine="720"/>
        <w:textAlignment w:val="baseline"/>
        <w:rPr>
          <w:rStyle w:val="Strong"/>
          <w:b w:val="0"/>
          <w:color w:val="000000"/>
          <w:szCs w:val="24"/>
        </w:rPr>
      </w:pPr>
      <w:r>
        <w:rPr>
          <w:rStyle w:val="Strong"/>
          <w:b w:val="0"/>
          <w:color w:val="000000"/>
          <w:szCs w:val="24"/>
        </w:rPr>
        <w:t>The Court then examine</w:t>
      </w:r>
      <w:r w:rsidR="00471714">
        <w:rPr>
          <w:rStyle w:val="Strong"/>
          <w:b w:val="0"/>
          <w:color w:val="000000"/>
          <w:szCs w:val="24"/>
        </w:rPr>
        <w:t>d</w:t>
      </w:r>
      <w:r>
        <w:rPr>
          <w:rStyle w:val="Strong"/>
          <w:b w:val="0"/>
          <w:color w:val="000000"/>
          <w:szCs w:val="24"/>
        </w:rPr>
        <w:t xml:space="preserve"> the rights of </w:t>
      </w:r>
      <w:r w:rsidR="0022170D">
        <w:rPr>
          <w:rStyle w:val="Strong"/>
          <w:b w:val="0"/>
          <w:color w:val="000000"/>
          <w:szCs w:val="24"/>
        </w:rPr>
        <w:t xml:space="preserve">an </w:t>
      </w:r>
      <w:r>
        <w:rPr>
          <w:rStyle w:val="Strong"/>
          <w:b w:val="0"/>
          <w:color w:val="000000"/>
          <w:szCs w:val="24"/>
        </w:rPr>
        <w:t xml:space="preserve">assignee.  </w:t>
      </w:r>
      <w:r w:rsidR="00205A98">
        <w:rPr>
          <w:rStyle w:val="Strong"/>
          <w:b w:val="0"/>
          <w:color w:val="000000"/>
          <w:szCs w:val="24"/>
        </w:rPr>
        <w:t>It noted that a</w:t>
      </w:r>
      <w:r w:rsidR="0022170D">
        <w:rPr>
          <w:rStyle w:val="Strong"/>
          <w:b w:val="0"/>
          <w:color w:val="000000"/>
          <w:szCs w:val="24"/>
        </w:rPr>
        <w:t>n assignee</w:t>
      </w:r>
      <w:r>
        <w:rPr>
          <w:rStyle w:val="Strong"/>
          <w:b w:val="0"/>
          <w:color w:val="000000"/>
          <w:szCs w:val="24"/>
        </w:rPr>
        <w:t xml:space="preserve"> can receive a share of the </w:t>
      </w:r>
      <w:r w:rsidR="00205A98">
        <w:rPr>
          <w:rStyle w:val="Strong"/>
          <w:b w:val="0"/>
          <w:color w:val="000000"/>
          <w:szCs w:val="24"/>
        </w:rPr>
        <w:t xml:space="preserve">LLC’s </w:t>
      </w:r>
      <w:r>
        <w:rPr>
          <w:rStyle w:val="Strong"/>
          <w:b w:val="0"/>
          <w:color w:val="000000"/>
          <w:szCs w:val="24"/>
        </w:rPr>
        <w:t xml:space="preserve">profits and losses and </w:t>
      </w:r>
      <w:r w:rsidR="00205A98">
        <w:rPr>
          <w:rStyle w:val="Strong"/>
          <w:b w:val="0"/>
          <w:color w:val="000000"/>
          <w:szCs w:val="24"/>
        </w:rPr>
        <w:t>its</w:t>
      </w:r>
      <w:r>
        <w:rPr>
          <w:rStyle w:val="Strong"/>
          <w:b w:val="0"/>
          <w:color w:val="000000"/>
          <w:szCs w:val="24"/>
        </w:rPr>
        <w:t xml:space="preserve"> distributions, but cannot vote or otherwise participate in management.</w:t>
      </w:r>
      <w:r w:rsidR="00205A98">
        <w:rPr>
          <w:rStyle w:val="FootnoteReference"/>
          <w:bCs/>
          <w:szCs w:val="24"/>
        </w:rPr>
        <w:footnoteReference w:id="87"/>
      </w:r>
      <w:r>
        <w:rPr>
          <w:rStyle w:val="Strong"/>
          <w:b w:val="0"/>
          <w:color w:val="000000"/>
          <w:szCs w:val="24"/>
        </w:rPr>
        <w:t xml:space="preserve">  In other words, </w:t>
      </w:r>
      <w:r w:rsidR="0022170D">
        <w:rPr>
          <w:rStyle w:val="Strong"/>
          <w:b w:val="0"/>
          <w:color w:val="000000"/>
          <w:szCs w:val="24"/>
        </w:rPr>
        <w:t xml:space="preserve">an </w:t>
      </w:r>
      <w:r>
        <w:rPr>
          <w:rStyle w:val="Strong"/>
          <w:b w:val="0"/>
          <w:color w:val="000000"/>
          <w:szCs w:val="24"/>
        </w:rPr>
        <w:t>assignee</w:t>
      </w:r>
      <w:r w:rsidR="0022170D">
        <w:rPr>
          <w:rStyle w:val="Strong"/>
          <w:b w:val="0"/>
          <w:color w:val="000000"/>
          <w:szCs w:val="24"/>
        </w:rPr>
        <w:t>’s</w:t>
      </w:r>
      <w:r>
        <w:rPr>
          <w:rStyle w:val="Strong"/>
          <w:b w:val="0"/>
          <w:color w:val="000000"/>
          <w:szCs w:val="24"/>
        </w:rPr>
        <w:t xml:space="preserve"> rights to participate are limited to a member’s economic interest.</w:t>
      </w:r>
    </w:p>
    <w:p w:rsidR="00205A98" w:rsidRDefault="00F67C9B" w:rsidP="00BC2437">
      <w:pPr>
        <w:overflowPunct w:val="0"/>
        <w:spacing w:line="360" w:lineRule="auto"/>
        <w:ind w:firstLine="720"/>
        <w:textAlignment w:val="baseline"/>
        <w:rPr>
          <w:rStyle w:val="Strong"/>
          <w:b w:val="0"/>
          <w:color w:val="000000"/>
          <w:szCs w:val="24"/>
        </w:rPr>
      </w:pPr>
      <w:r>
        <w:rPr>
          <w:rStyle w:val="Strong"/>
          <w:b w:val="0"/>
          <w:color w:val="000000"/>
          <w:szCs w:val="24"/>
        </w:rPr>
        <w:lastRenderedPageBreak/>
        <w:t xml:space="preserve">The Court noted that the trial court had ordered Henson to transfer his entire interest, not just his economic rights.  Trial court </w:t>
      </w:r>
      <w:r w:rsidR="00072E10">
        <w:rPr>
          <w:rStyle w:val="Strong"/>
          <w:b w:val="0"/>
          <w:color w:val="000000"/>
          <w:szCs w:val="24"/>
        </w:rPr>
        <w:t>erred by not following the statute</w:t>
      </w:r>
      <w:r>
        <w:rPr>
          <w:rStyle w:val="Strong"/>
          <w:b w:val="0"/>
          <w:color w:val="000000"/>
          <w:szCs w:val="24"/>
        </w:rPr>
        <w:t>.</w:t>
      </w:r>
      <w:r w:rsidR="00205A98">
        <w:rPr>
          <w:rStyle w:val="Strong"/>
          <w:b w:val="0"/>
          <w:color w:val="000000"/>
          <w:szCs w:val="24"/>
        </w:rPr>
        <w:t xml:space="preserve">  The Court further examined EEC’s operating agreement, which require the consent of the non-transferring members to permit a transfer of the interest.  Two of members had consented, but one member had not.  Without </w:t>
      </w:r>
      <w:r w:rsidR="00B91ECB">
        <w:rPr>
          <w:rStyle w:val="Strong"/>
          <w:b w:val="0"/>
          <w:color w:val="000000"/>
          <w:szCs w:val="24"/>
        </w:rPr>
        <w:t xml:space="preserve">the </w:t>
      </w:r>
      <w:r w:rsidR="00205A98">
        <w:rPr>
          <w:rStyle w:val="Strong"/>
          <w:b w:val="0"/>
          <w:color w:val="000000"/>
          <w:szCs w:val="24"/>
        </w:rPr>
        <w:t>unanimous consent</w:t>
      </w:r>
      <w:r w:rsidR="00072E10" w:rsidRPr="00072E10">
        <w:rPr>
          <w:rStyle w:val="Strong"/>
          <w:b w:val="0"/>
          <w:color w:val="000000"/>
          <w:szCs w:val="24"/>
        </w:rPr>
        <w:t xml:space="preserve"> </w:t>
      </w:r>
      <w:r w:rsidR="00072E10">
        <w:rPr>
          <w:rStyle w:val="Strong"/>
          <w:b w:val="0"/>
          <w:color w:val="000000"/>
          <w:szCs w:val="24"/>
        </w:rPr>
        <w:t>of the non-transferring members</w:t>
      </w:r>
      <w:r w:rsidR="00205A98">
        <w:rPr>
          <w:rStyle w:val="Strong"/>
          <w:b w:val="0"/>
          <w:color w:val="000000"/>
          <w:szCs w:val="24"/>
        </w:rPr>
        <w:t xml:space="preserve">, the operating agreement did not permit the transfer.  </w:t>
      </w:r>
      <w:r w:rsidR="00CB64E6">
        <w:rPr>
          <w:rStyle w:val="Strong"/>
          <w:b w:val="0"/>
          <w:color w:val="000000"/>
          <w:szCs w:val="24"/>
        </w:rPr>
        <w:t xml:space="preserve">Here the trial court erred also.  </w:t>
      </w:r>
      <w:r w:rsidR="00205A98">
        <w:rPr>
          <w:rStyle w:val="Strong"/>
          <w:b w:val="0"/>
          <w:color w:val="000000"/>
          <w:szCs w:val="24"/>
        </w:rPr>
        <w:t xml:space="preserve">The Court remanded for entry of a charging order.  </w:t>
      </w:r>
    </w:p>
    <w:p w:rsidR="00BC2437" w:rsidRDefault="00BC2437" w:rsidP="0008206D">
      <w:pPr>
        <w:overflowPunct w:val="0"/>
        <w:spacing w:line="360" w:lineRule="auto"/>
        <w:ind w:firstLine="720"/>
        <w:textAlignment w:val="baseline"/>
        <w:rPr>
          <w:rFonts w:eastAsia="Times New Roman"/>
        </w:rPr>
      </w:pPr>
      <w:r w:rsidRPr="00BC2437">
        <w:rPr>
          <w:rFonts w:eastAsia="Times New Roman"/>
          <w:i/>
        </w:rPr>
        <w:t>Moncrieff-</w:t>
      </w:r>
      <w:proofErr w:type="spellStart"/>
      <w:r w:rsidRPr="00BC2437">
        <w:rPr>
          <w:rFonts w:eastAsia="Times New Roman"/>
          <w:i/>
        </w:rPr>
        <w:t>Yeates</w:t>
      </w:r>
      <w:proofErr w:type="spellEnd"/>
      <w:r w:rsidRPr="00BC2437">
        <w:rPr>
          <w:rFonts w:eastAsia="Times New Roman"/>
          <w:i/>
        </w:rPr>
        <w:t xml:space="preserve"> v. Kane</w:t>
      </w:r>
      <w:r w:rsidR="001F6E69">
        <w:rPr>
          <w:rStyle w:val="FootnoteReference"/>
          <w:rFonts w:eastAsia="Times New Roman"/>
        </w:rPr>
        <w:footnoteReference w:id="88"/>
      </w:r>
      <w:r>
        <w:rPr>
          <w:rFonts w:eastAsia="Times New Roman"/>
        </w:rPr>
        <w:t xml:space="preserve"> </w:t>
      </w:r>
      <w:r w:rsidR="00082418">
        <w:rPr>
          <w:rFonts w:eastAsia="Times New Roman"/>
        </w:rPr>
        <w:t xml:space="preserve">deals with a corporation’s authority after administrative suspension of </w:t>
      </w:r>
      <w:r w:rsidR="00677145">
        <w:rPr>
          <w:rFonts w:eastAsia="Times New Roman"/>
        </w:rPr>
        <w:t xml:space="preserve">its </w:t>
      </w:r>
      <w:r w:rsidR="00082418">
        <w:rPr>
          <w:rFonts w:eastAsia="Times New Roman"/>
        </w:rPr>
        <w:t xml:space="preserve">charter for failure to pay franchise taxes.  In 2006, </w:t>
      </w:r>
      <w:r w:rsidR="0060630F">
        <w:rPr>
          <w:rFonts w:eastAsia="Times New Roman"/>
        </w:rPr>
        <w:t>K.O.D. Enterprises, Inc. (</w:t>
      </w:r>
      <w:r w:rsidR="00862856">
        <w:rPr>
          <w:rFonts w:eastAsia="Times New Roman"/>
        </w:rPr>
        <w:t>“</w:t>
      </w:r>
      <w:r w:rsidR="0060630F" w:rsidRPr="00862856">
        <w:rPr>
          <w:rFonts w:eastAsia="Times New Roman"/>
          <w:i/>
        </w:rPr>
        <w:t>KOD</w:t>
      </w:r>
      <w:r w:rsidR="00862856">
        <w:rPr>
          <w:rFonts w:eastAsia="Times New Roman"/>
        </w:rPr>
        <w:t>”</w:t>
      </w:r>
      <w:r w:rsidR="0060630F">
        <w:rPr>
          <w:rFonts w:eastAsia="Times New Roman"/>
        </w:rPr>
        <w:t>) sold property to Moncrieff-</w:t>
      </w:r>
      <w:proofErr w:type="spellStart"/>
      <w:r w:rsidR="0060630F">
        <w:rPr>
          <w:rFonts w:eastAsia="Times New Roman"/>
        </w:rPr>
        <w:t>Yeates</w:t>
      </w:r>
      <w:proofErr w:type="spellEnd"/>
      <w:r w:rsidR="0060630F">
        <w:rPr>
          <w:rFonts w:eastAsia="Times New Roman"/>
        </w:rPr>
        <w:t xml:space="preserve"> for a note and mortgage.  Moncrieff-</w:t>
      </w:r>
      <w:proofErr w:type="spellStart"/>
      <w:r w:rsidR="0060630F">
        <w:rPr>
          <w:rFonts w:eastAsia="Times New Roman"/>
        </w:rPr>
        <w:t>Yeates</w:t>
      </w:r>
      <w:proofErr w:type="spellEnd"/>
      <w:r w:rsidR="0060630F">
        <w:rPr>
          <w:rFonts w:eastAsia="Times New Roman"/>
        </w:rPr>
        <w:t xml:space="preserve"> defaulted.  KOD brought a foreclosure suit and was award</w:t>
      </w:r>
      <w:r w:rsidR="00086461">
        <w:rPr>
          <w:rFonts w:eastAsia="Times New Roman"/>
        </w:rPr>
        <w:t>ed</w:t>
      </w:r>
      <w:r w:rsidR="0060630F">
        <w:rPr>
          <w:rFonts w:eastAsia="Times New Roman"/>
        </w:rPr>
        <w:t xml:space="preserve"> summary judgment.  </w:t>
      </w:r>
      <w:r w:rsidR="003A7817">
        <w:rPr>
          <w:rFonts w:eastAsia="Times New Roman"/>
        </w:rPr>
        <w:t>Moncrieff-</w:t>
      </w:r>
      <w:proofErr w:type="spellStart"/>
      <w:r w:rsidR="003A7817">
        <w:rPr>
          <w:rFonts w:eastAsia="Times New Roman"/>
        </w:rPr>
        <w:t>Yeates</w:t>
      </w:r>
      <w:proofErr w:type="spellEnd"/>
      <w:r w:rsidR="003A7817">
        <w:rPr>
          <w:rFonts w:eastAsia="Times New Roman"/>
        </w:rPr>
        <w:t xml:space="preserve"> objected and filed post-judgment motions to vacate the judgment, arguing that KOD’s charter had been suspended </w:t>
      </w:r>
      <w:r w:rsidR="001D5D49">
        <w:rPr>
          <w:rFonts w:eastAsia="Times New Roman"/>
        </w:rPr>
        <w:t>i</w:t>
      </w:r>
      <w:r w:rsidR="003A7817">
        <w:rPr>
          <w:rFonts w:eastAsia="Times New Roman"/>
        </w:rPr>
        <w:t>n 2000 for failure to pay franchise taxes</w:t>
      </w:r>
      <w:r w:rsidR="00605B51">
        <w:rPr>
          <w:rFonts w:eastAsia="Times New Roman"/>
        </w:rPr>
        <w:t xml:space="preserve"> and</w:t>
      </w:r>
      <w:r w:rsidR="00082418">
        <w:rPr>
          <w:rFonts w:eastAsia="Times New Roman"/>
        </w:rPr>
        <w:t xml:space="preserve"> was never reinstated,</w:t>
      </w:r>
      <w:r w:rsidR="003A7817">
        <w:rPr>
          <w:rFonts w:eastAsia="Times New Roman"/>
        </w:rPr>
        <w:t xml:space="preserve"> and </w:t>
      </w:r>
      <w:r w:rsidR="00605B51">
        <w:rPr>
          <w:rFonts w:eastAsia="Times New Roman"/>
        </w:rPr>
        <w:t xml:space="preserve">that KOD </w:t>
      </w:r>
      <w:r w:rsidR="003A7817">
        <w:rPr>
          <w:rFonts w:eastAsia="Times New Roman"/>
        </w:rPr>
        <w:t xml:space="preserve">was precluded from accessing the courts.  The matter was eventually taken up by the Court as an application to assume original jurisdiction and request for extraordinary relief. </w:t>
      </w:r>
    </w:p>
    <w:p w:rsidR="00BC2437" w:rsidRDefault="00082418" w:rsidP="0008206D">
      <w:pPr>
        <w:overflowPunct w:val="0"/>
        <w:spacing w:line="360" w:lineRule="auto"/>
        <w:ind w:firstLine="720"/>
        <w:textAlignment w:val="baseline"/>
        <w:rPr>
          <w:rFonts w:eastAsia="Times New Roman"/>
        </w:rPr>
      </w:pPr>
      <w:r>
        <w:rPr>
          <w:rFonts w:eastAsia="Times New Roman"/>
        </w:rPr>
        <w:t xml:space="preserve">The Court first examined the </w:t>
      </w:r>
      <w:r w:rsidR="00713C66">
        <w:rPr>
          <w:rFonts w:eastAsia="Times New Roman"/>
        </w:rPr>
        <w:t>tax statute authorizing the charter suspension.  The statute provides that during the suspension, (a) the</w:t>
      </w:r>
      <w:r w:rsidR="00952C3B">
        <w:rPr>
          <w:rFonts w:eastAsia="Times New Roman"/>
        </w:rPr>
        <w:t xml:space="preserve"> corporation cannot sue or defend, (b) the directors and officers are personally liable for debts incurred with their knowledge, and (c) any contract made </w:t>
      </w:r>
      <w:r w:rsidR="00605B51">
        <w:rPr>
          <w:rFonts w:eastAsia="Times New Roman"/>
        </w:rPr>
        <w:t xml:space="preserve">during the suspension </w:t>
      </w:r>
      <w:r w:rsidR="00952C3B">
        <w:rPr>
          <w:rFonts w:eastAsia="Times New Roman"/>
        </w:rPr>
        <w:t>is voidable.</w:t>
      </w:r>
      <w:r w:rsidR="00952C3B">
        <w:rPr>
          <w:rStyle w:val="FootnoteReference"/>
          <w:rFonts w:eastAsia="Times New Roman"/>
        </w:rPr>
        <w:footnoteReference w:id="89"/>
      </w:r>
      <w:r w:rsidR="00952C3B">
        <w:rPr>
          <w:rFonts w:eastAsia="Times New Roman"/>
        </w:rPr>
        <w:t xml:space="preserve">  </w:t>
      </w:r>
      <w:r w:rsidR="00C96FB3">
        <w:rPr>
          <w:rFonts w:eastAsia="Times New Roman"/>
        </w:rPr>
        <w:t>The Court noted that access to the courts could be restored if the corporation were reinstated.</w:t>
      </w:r>
      <w:r w:rsidR="00C96FB3">
        <w:rPr>
          <w:rStyle w:val="FootnoteReference"/>
          <w:rFonts w:eastAsia="Times New Roman"/>
        </w:rPr>
        <w:footnoteReference w:id="90"/>
      </w:r>
      <w:r w:rsidR="00C96FB3">
        <w:rPr>
          <w:rFonts w:eastAsia="Times New Roman"/>
        </w:rPr>
        <w:t xml:space="preserve">  But KOD had never </w:t>
      </w:r>
      <w:r w:rsidR="00554674">
        <w:rPr>
          <w:rFonts w:eastAsia="Times New Roman"/>
        </w:rPr>
        <w:t xml:space="preserve">paid its delinquent taxes and </w:t>
      </w:r>
      <w:r w:rsidR="00C96FB3">
        <w:rPr>
          <w:rFonts w:eastAsia="Times New Roman"/>
        </w:rPr>
        <w:t xml:space="preserve">applied for reinstatement.  </w:t>
      </w:r>
    </w:p>
    <w:p w:rsidR="003A7817" w:rsidRDefault="003A7817" w:rsidP="0008206D">
      <w:pPr>
        <w:overflowPunct w:val="0"/>
        <w:spacing w:line="360" w:lineRule="auto"/>
        <w:ind w:firstLine="720"/>
        <w:textAlignment w:val="baseline"/>
        <w:rPr>
          <w:rFonts w:eastAsia="Times New Roman"/>
        </w:rPr>
      </w:pPr>
      <w:r>
        <w:rPr>
          <w:rFonts w:eastAsia="Times New Roman"/>
        </w:rPr>
        <w:t xml:space="preserve">KOD argued that its </w:t>
      </w:r>
      <w:r w:rsidR="00C96FB3">
        <w:rPr>
          <w:rFonts w:eastAsia="Times New Roman"/>
        </w:rPr>
        <w:t xml:space="preserve">suspension was </w:t>
      </w:r>
      <w:proofErr w:type="gramStart"/>
      <w:r w:rsidR="00C96FB3">
        <w:rPr>
          <w:rFonts w:eastAsia="Times New Roman"/>
        </w:rPr>
        <w:t>a dissolution</w:t>
      </w:r>
      <w:proofErr w:type="gramEnd"/>
      <w:r w:rsidR="00C96FB3">
        <w:rPr>
          <w:rFonts w:eastAsia="Times New Roman"/>
        </w:rPr>
        <w:t xml:space="preserve"> and that it had </w:t>
      </w:r>
      <w:r>
        <w:rPr>
          <w:rFonts w:eastAsia="Times New Roman"/>
        </w:rPr>
        <w:t>three years</w:t>
      </w:r>
      <w:r w:rsidR="00C96FB3">
        <w:rPr>
          <w:rFonts w:eastAsia="Times New Roman"/>
        </w:rPr>
        <w:t>,</w:t>
      </w:r>
      <w:r>
        <w:rPr>
          <w:rFonts w:eastAsia="Times New Roman"/>
        </w:rPr>
        <w:t xml:space="preserve"> or more if allowed by the court, to wind up its affairs and resolve </w:t>
      </w:r>
      <w:r w:rsidR="00A01241">
        <w:rPr>
          <w:rFonts w:eastAsia="Times New Roman"/>
        </w:rPr>
        <w:t xml:space="preserve">its </w:t>
      </w:r>
      <w:r>
        <w:rPr>
          <w:rFonts w:eastAsia="Times New Roman"/>
        </w:rPr>
        <w:t>claims in court</w:t>
      </w:r>
      <w:r w:rsidR="00C96FB3">
        <w:rPr>
          <w:rFonts w:eastAsia="Times New Roman"/>
        </w:rPr>
        <w:t>.</w:t>
      </w:r>
      <w:r w:rsidR="00C96FB3">
        <w:rPr>
          <w:rStyle w:val="FootnoteReference"/>
          <w:rFonts w:eastAsia="Times New Roman"/>
        </w:rPr>
        <w:footnoteReference w:id="91"/>
      </w:r>
      <w:r w:rsidR="00C96FB3">
        <w:rPr>
          <w:rFonts w:eastAsia="Times New Roman"/>
        </w:rPr>
        <w:t xml:space="preserve">  The </w:t>
      </w:r>
      <w:r w:rsidR="00C96FB3">
        <w:rPr>
          <w:rFonts w:eastAsia="Times New Roman"/>
        </w:rPr>
        <w:lastRenderedPageBreak/>
        <w:t xml:space="preserve">Court disagreed, stating that the suspension was not equivalent to </w:t>
      </w:r>
      <w:proofErr w:type="gramStart"/>
      <w:r w:rsidR="00C96FB3">
        <w:rPr>
          <w:rFonts w:eastAsia="Times New Roman"/>
        </w:rPr>
        <w:t>a</w:t>
      </w:r>
      <w:r>
        <w:rPr>
          <w:rFonts w:eastAsia="Times New Roman"/>
        </w:rPr>
        <w:t xml:space="preserve"> dissolution</w:t>
      </w:r>
      <w:proofErr w:type="gramEnd"/>
      <w:r>
        <w:rPr>
          <w:rFonts w:eastAsia="Times New Roman"/>
        </w:rPr>
        <w:t xml:space="preserve">.  Court </w:t>
      </w:r>
      <w:r w:rsidR="00C96FB3">
        <w:rPr>
          <w:rFonts w:eastAsia="Times New Roman"/>
        </w:rPr>
        <w:t xml:space="preserve">wrote that a corporation can be reinstated after </w:t>
      </w:r>
      <w:r>
        <w:rPr>
          <w:rFonts w:eastAsia="Times New Roman"/>
        </w:rPr>
        <w:t>suspension</w:t>
      </w:r>
      <w:r w:rsidR="00C96FB3">
        <w:rPr>
          <w:rFonts w:eastAsia="Times New Roman"/>
        </w:rPr>
        <w:t xml:space="preserve">, unlike a </w:t>
      </w:r>
      <w:r>
        <w:rPr>
          <w:rFonts w:eastAsia="Times New Roman"/>
        </w:rPr>
        <w:t>dissolution</w:t>
      </w:r>
      <w:r w:rsidR="00C96FB3">
        <w:rPr>
          <w:rFonts w:eastAsia="Times New Roman"/>
        </w:rPr>
        <w:t xml:space="preserve"> which terminates the charter</w:t>
      </w:r>
      <w:r>
        <w:rPr>
          <w:rFonts w:eastAsia="Times New Roman"/>
        </w:rPr>
        <w:t>.</w:t>
      </w:r>
      <w:r w:rsidR="00C96FB3">
        <w:rPr>
          <w:rStyle w:val="FootnoteReference"/>
          <w:rFonts w:eastAsia="Times New Roman"/>
        </w:rPr>
        <w:footnoteReference w:id="92"/>
      </w:r>
      <w:r>
        <w:rPr>
          <w:rFonts w:eastAsia="Times New Roman"/>
        </w:rPr>
        <w:t xml:space="preserve">  </w:t>
      </w:r>
      <w:r w:rsidR="002F4E1F">
        <w:rPr>
          <w:rFonts w:eastAsia="Times New Roman"/>
        </w:rPr>
        <w:t>Further refuting KOD’s argument is the fact that a corporation cannot dissolve without paying its franchise taxes.</w:t>
      </w:r>
      <w:r w:rsidR="002F4E1F">
        <w:rPr>
          <w:rStyle w:val="FootnoteReference"/>
          <w:rFonts w:eastAsia="Times New Roman"/>
        </w:rPr>
        <w:footnoteReference w:id="93"/>
      </w:r>
      <w:r w:rsidR="00A01241">
        <w:rPr>
          <w:rFonts w:eastAsia="Times New Roman"/>
        </w:rPr>
        <w:t xml:space="preserve"> </w:t>
      </w:r>
    </w:p>
    <w:p w:rsidR="003A7817" w:rsidRDefault="0076289C" w:rsidP="0008206D">
      <w:pPr>
        <w:overflowPunct w:val="0"/>
        <w:spacing w:line="360" w:lineRule="auto"/>
        <w:ind w:firstLine="720"/>
        <w:textAlignment w:val="baseline"/>
        <w:rPr>
          <w:rFonts w:eastAsia="Times New Roman"/>
        </w:rPr>
      </w:pPr>
      <w:r>
        <w:rPr>
          <w:rFonts w:eastAsia="Times New Roman"/>
        </w:rPr>
        <w:t xml:space="preserve">The </w:t>
      </w:r>
      <w:r w:rsidR="003A7817">
        <w:rPr>
          <w:rFonts w:eastAsia="Times New Roman"/>
        </w:rPr>
        <w:t xml:space="preserve">Court </w:t>
      </w:r>
      <w:r>
        <w:rPr>
          <w:rFonts w:eastAsia="Times New Roman"/>
        </w:rPr>
        <w:t xml:space="preserve">is </w:t>
      </w:r>
      <w:r w:rsidR="003A7817">
        <w:rPr>
          <w:rFonts w:eastAsia="Times New Roman"/>
        </w:rPr>
        <w:t>correct</w:t>
      </w:r>
      <w:r>
        <w:rPr>
          <w:rFonts w:eastAsia="Times New Roman"/>
        </w:rPr>
        <w:t xml:space="preserve"> in its holding.  Once suspended, </w:t>
      </w:r>
      <w:r w:rsidR="003A7817">
        <w:rPr>
          <w:rFonts w:eastAsia="Times New Roman"/>
        </w:rPr>
        <w:t xml:space="preserve">KOD </w:t>
      </w:r>
      <w:r>
        <w:rPr>
          <w:rFonts w:eastAsia="Times New Roman"/>
        </w:rPr>
        <w:t xml:space="preserve">lacks standing and </w:t>
      </w:r>
      <w:r w:rsidR="003A7817">
        <w:rPr>
          <w:rFonts w:eastAsia="Times New Roman"/>
        </w:rPr>
        <w:t xml:space="preserve">should be denied access to courts.  </w:t>
      </w:r>
      <w:r>
        <w:rPr>
          <w:rFonts w:eastAsia="Times New Roman"/>
        </w:rPr>
        <w:t>The Court’s holding is c</w:t>
      </w:r>
      <w:r w:rsidR="000C6956">
        <w:rPr>
          <w:rFonts w:eastAsia="Times New Roman"/>
        </w:rPr>
        <w:t xml:space="preserve">onsistent </w:t>
      </w:r>
      <w:r>
        <w:rPr>
          <w:rFonts w:eastAsia="Times New Roman"/>
        </w:rPr>
        <w:t xml:space="preserve">with a </w:t>
      </w:r>
      <w:r w:rsidR="000C6956">
        <w:rPr>
          <w:rFonts w:eastAsia="Times New Roman"/>
        </w:rPr>
        <w:t>long line of O</w:t>
      </w:r>
      <w:r>
        <w:rPr>
          <w:rFonts w:eastAsia="Times New Roman"/>
        </w:rPr>
        <w:t xml:space="preserve">klahoma </w:t>
      </w:r>
      <w:r w:rsidR="000C6956">
        <w:rPr>
          <w:rFonts w:eastAsia="Times New Roman"/>
        </w:rPr>
        <w:t>cases.</w:t>
      </w:r>
      <w:r w:rsidR="00A01241">
        <w:rPr>
          <w:rStyle w:val="FootnoteReference"/>
          <w:rFonts w:eastAsia="Times New Roman"/>
        </w:rPr>
        <w:footnoteReference w:id="94"/>
      </w:r>
      <w:r w:rsidR="000C6956">
        <w:rPr>
          <w:rFonts w:eastAsia="Times New Roman"/>
        </w:rPr>
        <w:t xml:space="preserve">  </w:t>
      </w:r>
      <w:r>
        <w:rPr>
          <w:rFonts w:eastAsia="Times New Roman"/>
        </w:rPr>
        <w:t>The only surprising element in this case was that KOD chose the stand it di</w:t>
      </w:r>
      <w:r w:rsidR="002F6D5C">
        <w:rPr>
          <w:rFonts w:eastAsia="Times New Roman"/>
        </w:rPr>
        <w:t xml:space="preserve">d and </w:t>
      </w:r>
      <w:r>
        <w:rPr>
          <w:rFonts w:eastAsia="Times New Roman"/>
        </w:rPr>
        <w:t>did not pay its delinquent taxes and reinstate</w:t>
      </w:r>
      <w:r w:rsidR="002F6D5C">
        <w:rPr>
          <w:rFonts w:eastAsia="Times New Roman"/>
        </w:rPr>
        <w:t xml:space="preserve">. </w:t>
      </w:r>
    </w:p>
    <w:p w:rsidR="00331B18" w:rsidRPr="00363BC9" w:rsidRDefault="00331B18" w:rsidP="00A6041D">
      <w:pPr>
        <w:pStyle w:val="Heading3"/>
        <w:rPr>
          <w:rFonts w:eastAsia="Times New Roman"/>
        </w:rPr>
      </w:pPr>
      <w:r w:rsidRPr="00363BC9">
        <w:rPr>
          <w:rFonts w:eastAsia="Times New Roman"/>
        </w:rPr>
        <w:t>Conclusion</w:t>
      </w:r>
    </w:p>
    <w:p w:rsidR="00331B18" w:rsidRPr="00363BC9" w:rsidRDefault="0042385B" w:rsidP="00331B18">
      <w:pPr>
        <w:overflowPunct w:val="0"/>
        <w:spacing w:line="360" w:lineRule="auto"/>
        <w:ind w:firstLine="720"/>
        <w:textAlignment w:val="baseline"/>
        <w:rPr>
          <w:rFonts w:eastAsia="Times New Roman"/>
        </w:rPr>
      </w:pPr>
      <w:r w:rsidRPr="00363BC9">
        <w:rPr>
          <w:rFonts w:eastAsia="Times New Roman"/>
        </w:rPr>
        <w:t>W</w:t>
      </w:r>
      <w:r w:rsidR="00A501A1" w:rsidRPr="00363BC9">
        <w:rPr>
          <w:rFonts w:eastAsia="Times New Roman"/>
        </w:rPr>
        <w:t xml:space="preserve">hile </w:t>
      </w:r>
      <w:r w:rsidR="00F43BAD">
        <w:rPr>
          <w:rFonts w:eastAsia="Times New Roman"/>
        </w:rPr>
        <w:t xml:space="preserve">many interesting </w:t>
      </w:r>
      <w:r w:rsidR="00A501A1" w:rsidRPr="00363BC9">
        <w:rPr>
          <w:rFonts w:eastAsia="Times New Roman"/>
        </w:rPr>
        <w:t xml:space="preserve">changes </w:t>
      </w:r>
      <w:r w:rsidR="00F43BAD">
        <w:rPr>
          <w:rFonts w:eastAsia="Times New Roman"/>
        </w:rPr>
        <w:t xml:space="preserve">have and will occur </w:t>
      </w:r>
      <w:r w:rsidR="00A501A1" w:rsidRPr="00363BC9">
        <w:rPr>
          <w:rFonts w:eastAsia="Times New Roman"/>
        </w:rPr>
        <w:t xml:space="preserve">at the Federal level, </w:t>
      </w:r>
      <w:r w:rsidR="00F43BAD">
        <w:rPr>
          <w:rFonts w:eastAsia="Times New Roman"/>
        </w:rPr>
        <w:t xml:space="preserve">the Oklahoma </w:t>
      </w:r>
      <w:r w:rsidR="00C73D7A">
        <w:rPr>
          <w:rFonts w:eastAsia="Times New Roman"/>
        </w:rPr>
        <w:t xml:space="preserve">legislation and </w:t>
      </w:r>
      <w:r w:rsidR="00F43BAD">
        <w:rPr>
          <w:rFonts w:eastAsia="Times New Roman"/>
        </w:rPr>
        <w:t xml:space="preserve">cases remind us </w:t>
      </w:r>
      <w:r w:rsidR="00A501A1" w:rsidRPr="00363BC9">
        <w:rPr>
          <w:rFonts w:eastAsia="Times New Roman"/>
        </w:rPr>
        <w:t>that state laws matter</w:t>
      </w:r>
      <w:r w:rsidR="00C73D7A">
        <w:rPr>
          <w:rFonts w:eastAsia="Times New Roman"/>
        </w:rPr>
        <w:t xml:space="preserve"> too</w:t>
      </w:r>
      <w:r w:rsidR="00A501A1" w:rsidRPr="00363BC9">
        <w:rPr>
          <w:rFonts w:eastAsia="Times New Roman"/>
        </w:rPr>
        <w:t xml:space="preserve">.  </w:t>
      </w:r>
      <w:r w:rsidR="003545EB" w:rsidRPr="00363BC9">
        <w:rPr>
          <w:rFonts w:eastAsia="Times New Roman"/>
        </w:rPr>
        <w:t xml:space="preserve">Thousands of </w:t>
      </w:r>
      <w:r w:rsidR="00F43BAD">
        <w:rPr>
          <w:rFonts w:eastAsia="Times New Roman"/>
        </w:rPr>
        <w:t xml:space="preserve">new </w:t>
      </w:r>
      <w:r w:rsidR="003545EB" w:rsidRPr="00363BC9">
        <w:rPr>
          <w:rFonts w:eastAsia="Times New Roman"/>
        </w:rPr>
        <w:t xml:space="preserve">businesses are formed each year </w:t>
      </w:r>
      <w:r w:rsidR="00F43BAD">
        <w:rPr>
          <w:rFonts w:eastAsia="Times New Roman"/>
        </w:rPr>
        <w:t xml:space="preserve">in Oklahoma.  Add to those </w:t>
      </w:r>
      <w:r w:rsidR="003545EB" w:rsidRPr="00363BC9">
        <w:rPr>
          <w:rFonts w:eastAsia="Times New Roman"/>
        </w:rPr>
        <w:t xml:space="preserve">the existing businesses.  Each </w:t>
      </w:r>
      <w:r w:rsidR="00731948" w:rsidRPr="00363BC9">
        <w:rPr>
          <w:rFonts w:eastAsia="Times New Roman"/>
        </w:rPr>
        <w:t xml:space="preserve">of these many businesses </w:t>
      </w:r>
      <w:r w:rsidR="003545EB" w:rsidRPr="00363BC9">
        <w:rPr>
          <w:rFonts w:eastAsia="Times New Roman"/>
        </w:rPr>
        <w:t xml:space="preserve">depends on Oklahoma statutes and case law to guide their formation and operation.  The law guides relationships among owners, between owners and managers, and between the entity and persons with whom it does business.  As lawyers, we are uniquely positioned to </w:t>
      </w:r>
      <w:r w:rsidR="00731948" w:rsidRPr="00363BC9">
        <w:rPr>
          <w:rFonts w:eastAsia="Times New Roman"/>
        </w:rPr>
        <w:t xml:space="preserve">assist these business and to </w:t>
      </w:r>
      <w:r w:rsidR="003545EB" w:rsidRPr="00363BC9">
        <w:rPr>
          <w:rFonts w:eastAsia="Times New Roman"/>
        </w:rPr>
        <w:t xml:space="preserve">encourage best business practices.  </w:t>
      </w:r>
      <w:r w:rsidR="003545EB" w:rsidRPr="00363BC9">
        <w:t xml:space="preserve">Good corporate governance means better relationships.  It also makes </w:t>
      </w:r>
      <w:r w:rsidR="003545EB" w:rsidRPr="00363BC9">
        <w:lastRenderedPageBreak/>
        <w:t>for a better marketplace.</w:t>
      </w:r>
      <w:r w:rsidR="003545EB" w:rsidRPr="00363BC9">
        <w:rPr>
          <w:rStyle w:val="FootnoteReference"/>
        </w:rPr>
        <w:footnoteReference w:id="95"/>
      </w:r>
      <w:r w:rsidR="003545EB" w:rsidRPr="00363BC9">
        <w:t xml:space="preserve">  Markets are more efficient where transparency and trust are found, and transactional risk decreases. </w:t>
      </w:r>
      <w:r w:rsidR="003545EB" w:rsidRPr="00363BC9">
        <w:rPr>
          <w:rFonts w:eastAsia="Times New Roman"/>
        </w:rPr>
        <w:t xml:space="preserve"> </w:t>
      </w:r>
      <w:r w:rsidR="00731948" w:rsidRPr="00363BC9">
        <w:rPr>
          <w:rFonts w:eastAsia="Times New Roman"/>
        </w:rPr>
        <w:t xml:space="preserve">The resulting economic benefits help us all. </w:t>
      </w:r>
    </w:p>
    <w:p w:rsidR="00562A49" w:rsidRPr="00363BC9" w:rsidRDefault="00562A49" w:rsidP="00331B18">
      <w:pPr>
        <w:overflowPunct w:val="0"/>
        <w:jc w:val="right"/>
        <w:textAlignment w:val="baseline"/>
        <w:rPr>
          <w:rFonts w:eastAsia="Times New Roman"/>
        </w:rPr>
      </w:pPr>
    </w:p>
    <w:p w:rsidR="00331B18" w:rsidRPr="00363BC9" w:rsidRDefault="00331B18" w:rsidP="00331B18">
      <w:pPr>
        <w:overflowPunct w:val="0"/>
        <w:jc w:val="right"/>
        <w:textAlignment w:val="baseline"/>
        <w:rPr>
          <w:rFonts w:eastAsia="Times New Roman"/>
        </w:rPr>
      </w:pPr>
      <w:r w:rsidRPr="00363BC9">
        <w:rPr>
          <w:rFonts w:eastAsia="Times New Roman"/>
        </w:rPr>
        <w:t>Gary W. Derrick</w:t>
      </w:r>
      <w:r w:rsidRPr="00363BC9">
        <w:rPr>
          <w:rFonts w:eastAsia="Times New Roman"/>
        </w:rPr>
        <w:br/>
      </w:r>
      <w:r w:rsidR="00F84BD2">
        <w:rPr>
          <w:rFonts w:eastAsia="Times New Roman"/>
        </w:rPr>
        <w:t xml:space="preserve">November </w:t>
      </w:r>
      <w:r w:rsidR="0076587D">
        <w:rPr>
          <w:rFonts w:eastAsia="Times New Roman"/>
        </w:rPr>
        <w:t>30</w:t>
      </w:r>
      <w:r w:rsidRPr="00363BC9">
        <w:rPr>
          <w:rFonts w:eastAsia="Times New Roman"/>
        </w:rPr>
        <w:t xml:space="preserve">, </w:t>
      </w:r>
      <w:r w:rsidR="00D12593">
        <w:rPr>
          <w:rFonts w:eastAsia="Times New Roman"/>
        </w:rPr>
        <w:t>2014</w:t>
      </w:r>
    </w:p>
    <w:sectPr w:rsidR="00331B18" w:rsidRPr="00363BC9" w:rsidSect="00611F44">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8DD" w:rsidRDefault="000018DD" w:rsidP="00331B18">
      <w:pPr>
        <w:spacing w:before="0"/>
      </w:pPr>
      <w:r>
        <w:separator/>
      </w:r>
    </w:p>
  </w:endnote>
  <w:endnote w:type="continuationSeparator" w:id="0">
    <w:p w:rsidR="000018DD" w:rsidRDefault="000018DD" w:rsidP="00331B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Default="00001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8DD" w:rsidRDefault="000018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Default="00001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18DD" w:rsidRDefault="000018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Default="000018DD" w:rsidP="00611F44">
    <w:pPr>
      <w:pStyle w:val="Footer"/>
      <w:jc w:val="center"/>
    </w:pPr>
    <w:r>
      <w:rPr>
        <w:sz w:val="20"/>
      </w:rPr>
      <w:t>Gary W. Derrick 2014©</w:t>
    </w:r>
  </w:p>
  <w:p w:rsidR="000018DD" w:rsidRDefault="000018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Default="00001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8DD" w:rsidRDefault="000018D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Default="00001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241">
      <w:rPr>
        <w:rStyle w:val="PageNumber"/>
        <w:noProof/>
      </w:rPr>
      <w:t>24</w:t>
    </w:r>
    <w:r>
      <w:rPr>
        <w:rStyle w:val="PageNumber"/>
      </w:rPr>
      <w:fldChar w:fldCharType="end"/>
    </w:r>
  </w:p>
  <w:p w:rsidR="000018DD" w:rsidRDefault="000018D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Pr="0028017F" w:rsidRDefault="000018DD" w:rsidP="00611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8DD" w:rsidRDefault="000018DD" w:rsidP="00331B18">
      <w:pPr>
        <w:spacing w:before="0"/>
      </w:pPr>
      <w:r>
        <w:separator/>
      </w:r>
    </w:p>
  </w:footnote>
  <w:footnote w:type="continuationSeparator" w:id="0">
    <w:p w:rsidR="000018DD" w:rsidRDefault="000018DD" w:rsidP="00331B18">
      <w:pPr>
        <w:spacing w:before="0"/>
      </w:pPr>
      <w:r>
        <w:continuationSeparator/>
      </w:r>
    </w:p>
  </w:footnote>
  <w:footnote w:id="1">
    <w:p w:rsidR="000018DD" w:rsidRPr="00363BC9" w:rsidRDefault="000018DD" w:rsidP="00D81C32">
      <w:pPr>
        <w:pStyle w:val="FootnoteText"/>
      </w:pPr>
      <w:r w:rsidRPr="00363BC9">
        <w:rPr>
          <w:rStyle w:val="FootnoteReference"/>
        </w:rPr>
        <w:footnoteRef/>
      </w:r>
      <w:r w:rsidRPr="00363BC9">
        <w:t xml:space="preserve"> </w:t>
      </w:r>
      <w:r w:rsidRPr="00363BC9">
        <w:tab/>
      </w:r>
      <w:r w:rsidRPr="006A7B6D">
        <w:rPr>
          <w:rStyle w:val="FootnotetextChar0"/>
        </w:rPr>
        <w:t xml:space="preserve">The derivatives markets have expanded in 30 years from a small U.S. market to a globalized market with an outstanding notional value of $691 trillion at June 30, 2014, for OTC derivatives and exchange-traded derivatives.  </w:t>
      </w:r>
      <w:r w:rsidRPr="002703CC">
        <w:rPr>
          <w:rStyle w:val="FootnotetextChar0"/>
          <w:i/>
        </w:rPr>
        <w:t>Semiannual OTC derivatives statistics</w:t>
      </w:r>
      <w:r>
        <w:rPr>
          <w:rStyle w:val="FootnotetextChar0"/>
        </w:rPr>
        <w:t xml:space="preserve">, </w:t>
      </w:r>
      <w:r w:rsidRPr="002703CC">
        <w:rPr>
          <w:rStyle w:val="FootnotetextChar0"/>
          <w:smallCaps/>
        </w:rPr>
        <w:t>Bank for International Settlement</w:t>
      </w:r>
      <w:r w:rsidRPr="006A7B6D">
        <w:rPr>
          <w:rStyle w:val="FootnotetextChar0"/>
        </w:rPr>
        <w:t xml:space="preserve"> (updated Nov. 6, 2014) (at </w:t>
      </w:r>
      <w:hyperlink r:id="rId1" w:history="1">
        <w:r w:rsidRPr="00D30A26">
          <w:rPr>
            <w:rStyle w:val="Hyperlink"/>
            <w:rFonts w:eastAsiaTheme="minorHAnsi"/>
          </w:rPr>
          <w:t>http://www.bis.org/statistics/derstats. htm</w:t>
        </w:r>
      </w:hyperlink>
      <w:r w:rsidRPr="006A7B6D">
        <w:rPr>
          <w:rStyle w:val="FootnotetextChar0"/>
        </w:rPr>
        <w:t xml:space="preserve">).  The global private equity market grew from approximately $38 billion in new capital in 1995 to approximately $231 billion in 2013.  </w:t>
      </w:r>
      <w:proofErr w:type="gramStart"/>
      <w:r w:rsidRPr="002703CC">
        <w:rPr>
          <w:rStyle w:val="FootnotetextChar0"/>
          <w:i/>
        </w:rPr>
        <w:t>Global Private Equity Report for 2014</w:t>
      </w:r>
      <w:r w:rsidRPr="006A7B6D">
        <w:rPr>
          <w:rStyle w:val="FootnotetextChar0"/>
        </w:rPr>
        <w:t xml:space="preserve">, </w:t>
      </w:r>
      <w:r w:rsidRPr="002703CC">
        <w:rPr>
          <w:rStyle w:val="FootnotetextChar0"/>
          <w:smallCaps/>
        </w:rPr>
        <w:t>Bain &amp; Company</w:t>
      </w:r>
      <w:r w:rsidRPr="006A7B6D">
        <w:rPr>
          <w:rStyle w:val="FootnotetextChar0"/>
        </w:rPr>
        <w:t xml:space="preserve"> (at </w:t>
      </w:r>
      <w:hyperlink r:id="rId2" w:history="1">
        <w:r w:rsidRPr="006A7B6D">
          <w:rPr>
            <w:rStyle w:val="FootnotetextChar0"/>
          </w:rPr>
          <w:t>http://www.bain.com/publications/ business-insights/global-private-equity-report.aspx</w:t>
        </w:r>
      </w:hyperlink>
      <w:r>
        <w:t>)</w:t>
      </w:r>
      <w:r w:rsidRPr="006A7B6D">
        <w:rPr>
          <w:rStyle w:val="FootnotetextChar0"/>
        </w:rPr>
        <w:t>.</w:t>
      </w:r>
      <w:proofErr w:type="gramEnd"/>
    </w:p>
  </w:footnote>
  <w:footnote w:id="2">
    <w:p w:rsidR="000018DD" w:rsidRPr="00363BC9" w:rsidRDefault="000018DD" w:rsidP="00D81C32">
      <w:pPr>
        <w:pStyle w:val="Footnote"/>
      </w:pPr>
      <w:r w:rsidRPr="00363BC9">
        <w:rPr>
          <w:rStyle w:val="FootnoteReference"/>
        </w:rPr>
        <w:footnoteRef/>
      </w:r>
      <w:r w:rsidRPr="00363BC9">
        <w:t xml:space="preserve"> </w:t>
      </w:r>
      <w:r w:rsidRPr="00363BC9">
        <w:tab/>
      </w:r>
      <w:r w:rsidRPr="00363BC9">
        <w:rPr>
          <w:i/>
        </w:rPr>
        <w:t>See gen</w:t>
      </w:r>
      <w:r w:rsidRPr="00363BC9">
        <w:t xml:space="preserve">. Carl </w:t>
      </w:r>
      <w:proofErr w:type="spellStart"/>
      <w:r w:rsidRPr="00363BC9">
        <w:t>Dahlman</w:t>
      </w:r>
      <w:proofErr w:type="spellEnd"/>
      <w:r w:rsidRPr="00363BC9">
        <w:t xml:space="preserve">, </w:t>
      </w:r>
      <w:r w:rsidRPr="002703CC">
        <w:rPr>
          <w:i/>
        </w:rPr>
        <w:t>Technology, Globalization, and International Competitiveness</w:t>
      </w:r>
      <w:r w:rsidRPr="00363BC9">
        <w:t xml:space="preserve">, </w:t>
      </w:r>
      <w:r w:rsidRPr="002703CC">
        <w:rPr>
          <w:smallCaps/>
        </w:rPr>
        <w:t>Industrial Development for the 21</w:t>
      </w:r>
      <w:r w:rsidRPr="002703CC">
        <w:rPr>
          <w:smallCaps/>
          <w:vertAlign w:val="superscript"/>
        </w:rPr>
        <w:t>st</w:t>
      </w:r>
      <w:r w:rsidRPr="002703CC">
        <w:rPr>
          <w:smallCaps/>
        </w:rPr>
        <w:t xml:space="preserve"> Century</w:t>
      </w:r>
      <w:r w:rsidRPr="00363BC9">
        <w:t xml:space="preserve"> (United Nations, 2007) (</w:t>
      </w:r>
      <w:r>
        <w:t xml:space="preserve">at </w:t>
      </w:r>
      <w:hyperlink r:id="rId3" w:history="1">
        <w:r w:rsidRPr="00363BC9">
          <w:rPr>
            <w:rStyle w:val="Hyperlink"/>
            <w:color w:val="auto"/>
          </w:rPr>
          <w:t xml:space="preserve">http://www.un.org/esa/ </w:t>
        </w:r>
        <w:proofErr w:type="spellStart"/>
        <w:r w:rsidRPr="00363BC9">
          <w:rPr>
            <w:rStyle w:val="Hyperlink"/>
            <w:color w:val="auto"/>
          </w:rPr>
          <w:t>sustdev</w:t>
        </w:r>
        <w:proofErr w:type="spellEnd"/>
        <w:r w:rsidRPr="00363BC9">
          <w:rPr>
            <w:rStyle w:val="Hyperlink"/>
            <w:color w:val="auto"/>
          </w:rPr>
          <w:t>/publications/</w:t>
        </w:r>
        <w:proofErr w:type="spellStart"/>
        <w:r w:rsidRPr="00363BC9">
          <w:rPr>
            <w:rStyle w:val="Hyperlink"/>
            <w:color w:val="auto"/>
          </w:rPr>
          <w:t>industrial_development</w:t>
        </w:r>
        <w:proofErr w:type="spellEnd"/>
        <w:r w:rsidRPr="00363BC9">
          <w:rPr>
            <w:rStyle w:val="Hyperlink"/>
            <w:color w:val="auto"/>
          </w:rPr>
          <w:t>/1_2.pdf</w:t>
        </w:r>
      </w:hyperlink>
      <w:r w:rsidRPr="00363BC9">
        <w:t xml:space="preserve">); and Thomas Friedman, </w:t>
      </w:r>
      <w:r w:rsidRPr="00363BC9">
        <w:rPr>
          <w:i/>
        </w:rPr>
        <w:t>The World is Flat</w:t>
      </w:r>
      <w:r w:rsidRPr="00363BC9">
        <w:t xml:space="preserve"> (2005)</w:t>
      </w:r>
      <w:r>
        <w:t xml:space="preserve">; Robert E. Lucas, Jr., The Industrial Revolution: Past and Future”, </w:t>
      </w:r>
      <w:r w:rsidRPr="007C6E3E">
        <w:rPr>
          <w:i/>
        </w:rPr>
        <w:t>The Region</w:t>
      </w:r>
      <w:r>
        <w:t xml:space="preserve">, </w:t>
      </w:r>
      <w:r w:rsidRPr="002703CC">
        <w:rPr>
          <w:smallCaps/>
        </w:rPr>
        <w:t>The Federal Reserve of Minneapolis</w:t>
      </w:r>
      <w:r>
        <w:t xml:space="preserve"> (May 2004)</w:t>
      </w:r>
      <w:r w:rsidRPr="00363BC9">
        <w:t xml:space="preserve">. </w:t>
      </w:r>
    </w:p>
  </w:footnote>
  <w:footnote w:id="3">
    <w:p w:rsidR="000018DD" w:rsidRPr="00363BC9" w:rsidRDefault="000018DD" w:rsidP="00D81C32">
      <w:pPr>
        <w:pStyle w:val="FootnoteText"/>
      </w:pPr>
      <w:r w:rsidRPr="00363BC9">
        <w:rPr>
          <w:rStyle w:val="FootnoteReference"/>
        </w:rPr>
        <w:footnoteRef/>
      </w:r>
      <w:r w:rsidRPr="00363BC9">
        <w:t xml:space="preserve"> </w:t>
      </w:r>
      <w:r w:rsidRPr="00363BC9">
        <w:tab/>
      </w:r>
      <w:r w:rsidRPr="00363BC9">
        <w:rPr>
          <w:i/>
        </w:rPr>
        <w:t>See</w:t>
      </w:r>
      <w:r w:rsidRPr="00363BC9">
        <w:t xml:space="preserve"> </w:t>
      </w:r>
      <w:r w:rsidRPr="002703CC">
        <w:rPr>
          <w:i/>
        </w:rPr>
        <w:t>Financial Crisis Inquiry Commission Report</w:t>
      </w:r>
      <w:r w:rsidRPr="004E37B2">
        <w:t>,</w:t>
      </w:r>
      <w:r w:rsidRPr="00363BC9">
        <w:t xml:space="preserve"> </w:t>
      </w:r>
      <w:r w:rsidRPr="002703CC">
        <w:rPr>
          <w:smallCaps/>
        </w:rPr>
        <w:t>Conclusions of the Financial Crisis Inquiry Commission</w:t>
      </w:r>
      <w:r w:rsidRPr="00363BC9">
        <w:t xml:space="preserve"> (January 2011); </w:t>
      </w:r>
      <w:r w:rsidRPr="00363BC9">
        <w:rPr>
          <w:i/>
        </w:rPr>
        <w:t>see also</w:t>
      </w:r>
      <w:r w:rsidRPr="00363BC9">
        <w:t xml:space="preserve"> </w:t>
      </w:r>
      <w:r w:rsidRPr="004E37B2">
        <w:t>Keith Hennessey,</w:t>
      </w:r>
      <w:r w:rsidRPr="00363BC9">
        <w:rPr>
          <w:i/>
        </w:rPr>
        <w:t xml:space="preserve"> </w:t>
      </w:r>
      <w:r w:rsidRPr="004E37B2">
        <w:t>Douglas Holtz-</w:t>
      </w:r>
      <w:proofErr w:type="spellStart"/>
      <w:r w:rsidRPr="004E37B2">
        <w:t>Eakin</w:t>
      </w:r>
      <w:proofErr w:type="spellEnd"/>
      <w:r>
        <w:t>,</w:t>
      </w:r>
      <w:r w:rsidRPr="004E37B2">
        <w:t xml:space="preserve"> Bill Thomas and Peter J. </w:t>
      </w:r>
      <w:proofErr w:type="spellStart"/>
      <w:r w:rsidRPr="004E37B2">
        <w:t>Wallison</w:t>
      </w:r>
      <w:proofErr w:type="spellEnd"/>
      <w:r>
        <w:t>,</w:t>
      </w:r>
      <w:r w:rsidRPr="00363BC9">
        <w:t xml:space="preserve"> </w:t>
      </w:r>
      <w:r w:rsidRPr="002703CC">
        <w:rPr>
          <w:i/>
        </w:rPr>
        <w:t>Dissenting Statement</w:t>
      </w:r>
      <w:r w:rsidRPr="004E37B2">
        <w:t>,</w:t>
      </w:r>
      <w:r>
        <w:rPr>
          <w:i/>
        </w:rPr>
        <w:t xml:space="preserve"> </w:t>
      </w:r>
      <w:r w:rsidRPr="002703CC">
        <w:rPr>
          <w:smallCaps/>
        </w:rPr>
        <w:t>Financial Crisis Inquiry Commission</w:t>
      </w:r>
      <w:r w:rsidRPr="00363BC9">
        <w:rPr>
          <w:i/>
        </w:rPr>
        <w:t xml:space="preserve"> </w:t>
      </w:r>
      <w:r w:rsidRPr="00363BC9">
        <w:t xml:space="preserve">(January 2011).  There is a fallacy of belief – at least in an open economy </w:t>
      </w:r>
      <w:r w:rsidRPr="00363BC9">
        <w:noBreakHyphen/>
        <w:t xml:space="preserve"> that good government policies ensure the success of the economy while poor government policies will hurt the economy.  Government policy may influence an open economy, but cannot control it.</w:t>
      </w:r>
    </w:p>
  </w:footnote>
  <w:footnote w:id="4">
    <w:p w:rsidR="0076587D" w:rsidRPr="005E6CDB" w:rsidRDefault="0076587D" w:rsidP="0076587D">
      <w:pPr>
        <w:pStyle w:val="Footnotetext0"/>
        <w:rPr>
          <w:rFonts w:cs="Times New Roman"/>
          <w:szCs w:val="20"/>
        </w:rPr>
      </w:pPr>
      <w:r>
        <w:rPr>
          <w:rStyle w:val="FootnoteReference"/>
        </w:rPr>
        <w:footnoteRef/>
      </w:r>
      <w:r>
        <w:t xml:space="preserve"> </w:t>
      </w:r>
      <w:r>
        <w:tab/>
      </w:r>
      <w:r w:rsidRPr="007C692E">
        <w:t>The</w:t>
      </w:r>
      <w:r>
        <w:t xml:space="preserve"> </w:t>
      </w:r>
      <w:r w:rsidRPr="007C692E">
        <w:t>Dodd–Frank Wall Street Reform and Consumer Protection Act</w:t>
      </w:r>
      <w:r>
        <w:t xml:space="preserve"> </w:t>
      </w:r>
      <w:r w:rsidRPr="007C692E">
        <w:t>(Pub.</w:t>
      </w:r>
      <w:r>
        <w:t xml:space="preserve"> </w:t>
      </w:r>
      <w:proofErr w:type="gramStart"/>
      <w:r w:rsidRPr="007C692E">
        <w:t xml:space="preserve">L. </w:t>
      </w:r>
      <w:r>
        <w:t xml:space="preserve">No. </w:t>
      </w:r>
      <w:r w:rsidRPr="007C692E">
        <w:t>111-203,</w:t>
      </w:r>
      <w:r>
        <w:t xml:space="preserve"> </w:t>
      </w:r>
      <w:r w:rsidRPr="007C692E">
        <w:t>H.R. 4173)</w:t>
      </w:r>
      <w:r>
        <w:t xml:space="preserve"> (enacted </w:t>
      </w:r>
      <w:r w:rsidRPr="007C692E">
        <w:t>July 21, 2010</w:t>
      </w:r>
      <w:r>
        <w:t>) (“</w:t>
      </w:r>
      <w:r w:rsidRPr="00BF4277">
        <w:rPr>
          <w:i/>
        </w:rPr>
        <w:t>Dodd-Frank</w:t>
      </w:r>
      <w:r>
        <w:t>”).</w:t>
      </w:r>
      <w:proofErr w:type="gramEnd"/>
      <w:r>
        <w:t xml:space="preserve">  Dodd Frank </w:t>
      </w:r>
      <w:r>
        <w:rPr>
          <w:rStyle w:val="apple-style-span"/>
          <w:bCs/>
          <w:color w:val="000000"/>
          <w:szCs w:val="24"/>
        </w:rPr>
        <w:t xml:space="preserve">addressed in its 2,300 plus pages the liquidation of “too big to fail” financial institutions, residential mortgage and consumer lending practices, use of derivative securities, proprietary trading by banks, executive compensation, and consumer financial protections. </w:t>
      </w:r>
      <w:r w:rsidRPr="005E6CDB">
        <w:rPr>
          <w:rStyle w:val="apple-style-span"/>
          <w:rFonts w:cs="Times New Roman"/>
          <w:bCs/>
          <w:color w:val="000000"/>
          <w:szCs w:val="20"/>
        </w:rPr>
        <w:t xml:space="preserve"> </w:t>
      </w:r>
      <w:r>
        <w:rPr>
          <w:rStyle w:val="apple-style-span"/>
          <w:rFonts w:cs="Times New Roman"/>
          <w:bCs/>
          <w:color w:val="000000"/>
          <w:szCs w:val="20"/>
        </w:rPr>
        <w:t>The law firm, Davis Polk, reports that, a</w:t>
      </w:r>
      <w:r w:rsidRPr="005E6CDB">
        <w:rPr>
          <w:rFonts w:cs="Times New Roman"/>
          <w:color w:val="000000"/>
          <w:szCs w:val="20"/>
          <w:shd w:val="clear" w:color="auto" w:fill="FFFFFF"/>
        </w:rPr>
        <w:t>s of October 1, 2014, 280 Dodd-Frank rulemaking requirement deadlines ha</w:t>
      </w:r>
      <w:r>
        <w:rPr>
          <w:rFonts w:cs="Times New Roman"/>
          <w:color w:val="000000"/>
          <w:szCs w:val="20"/>
          <w:shd w:val="clear" w:color="auto" w:fill="FFFFFF"/>
        </w:rPr>
        <w:t>d</w:t>
      </w:r>
      <w:r w:rsidRPr="005E6CDB">
        <w:rPr>
          <w:rFonts w:cs="Times New Roman"/>
          <w:color w:val="000000"/>
          <w:szCs w:val="20"/>
          <w:shd w:val="clear" w:color="auto" w:fill="FFFFFF"/>
        </w:rPr>
        <w:t xml:space="preserve"> passed</w:t>
      </w:r>
      <w:r>
        <w:rPr>
          <w:rFonts w:cs="Times New Roman"/>
          <w:color w:val="000000"/>
          <w:szCs w:val="20"/>
          <w:shd w:val="clear" w:color="auto" w:fill="FFFFFF"/>
        </w:rPr>
        <w:t>, of which</w:t>
      </w:r>
      <w:r w:rsidRPr="005E6CDB">
        <w:rPr>
          <w:rFonts w:cs="Times New Roman"/>
          <w:color w:val="000000"/>
          <w:szCs w:val="20"/>
          <w:shd w:val="clear" w:color="auto" w:fill="FFFFFF"/>
        </w:rPr>
        <w:t xml:space="preserve"> 115 (41.1%) </w:t>
      </w:r>
      <w:r>
        <w:rPr>
          <w:rFonts w:cs="Times New Roman"/>
          <w:color w:val="000000"/>
          <w:szCs w:val="20"/>
          <w:shd w:val="clear" w:color="auto" w:fill="FFFFFF"/>
        </w:rPr>
        <w:t>were</w:t>
      </w:r>
      <w:r w:rsidRPr="005E6CDB">
        <w:rPr>
          <w:rFonts w:cs="Times New Roman"/>
          <w:color w:val="000000"/>
          <w:szCs w:val="20"/>
          <w:shd w:val="clear" w:color="auto" w:fill="FFFFFF"/>
        </w:rPr>
        <w:t xml:space="preserve"> </w:t>
      </w:r>
      <w:r>
        <w:rPr>
          <w:rFonts w:cs="Times New Roman"/>
          <w:color w:val="000000"/>
          <w:szCs w:val="20"/>
          <w:shd w:val="clear" w:color="auto" w:fill="FFFFFF"/>
        </w:rPr>
        <w:t>still awaiting final rules</w:t>
      </w:r>
      <w:r w:rsidRPr="005E6CDB">
        <w:rPr>
          <w:rFonts w:cs="Times New Roman"/>
          <w:color w:val="000000"/>
          <w:szCs w:val="20"/>
          <w:shd w:val="clear" w:color="auto" w:fill="FFFFFF"/>
        </w:rPr>
        <w:t xml:space="preserve">.  In addition, </w:t>
      </w:r>
      <w:r>
        <w:rPr>
          <w:rFonts w:cs="Times New Roman"/>
          <w:color w:val="000000"/>
          <w:szCs w:val="20"/>
          <w:shd w:val="clear" w:color="auto" w:fill="FFFFFF"/>
        </w:rPr>
        <w:t xml:space="preserve">only </w:t>
      </w:r>
      <w:r w:rsidRPr="005E6CDB">
        <w:rPr>
          <w:rFonts w:cs="Times New Roman"/>
          <w:color w:val="000000"/>
          <w:szCs w:val="20"/>
          <w:shd w:val="clear" w:color="auto" w:fill="FFFFFF"/>
        </w:rPr>
        <w:t xml:space="preserve">220 (55.3%) of the 398 total required rulemakings </w:t>
      </w:r>
      <w:r>
        <w:rPr>
          <w:rFonts w:cs="Times New Roman"/>
          <w:color w:val="000000"/>
          <w:szCs w:val="20"/>
          <w:shd w:val="clear" w:color="auto" w:fill="FFFFFF"/>
        </w:rPr>
        <w:t>were</w:t>
      </w:r>
      <w:r w:rsidRPr="005E6CDB">
        <w:rPr>
          <w:rFonts w:cs="Times New Roman"/>
          <w:color w:val="000000"/>
          <w:szCs w:val="20"/>
          <w:shd w:val="clear" w:color="auto" w:fill="FFFFFF"/>
        </w:rPr>
        <w:t xml:space="preserve"> finalized, while 95 (23.9%) rulemaking requirements have not yet been proposed.  </w:t>
      </w:r>
      <w:proofErr w:type="gramStart"/>
      <w:r w:rsidRPr="002703CC">
        <w:rPr>
          <w:rFonts w:cs="Times New Roman"/>
          <w:i/>
          <w:color w:val="000000"/>
          <w:szCs w:val="20"/>
          <w:shd w:val="clear" w:color="auto" w:fill="FFFFFF"/>
        </w:rPr>
        <w:t>Dodd-Frank Progress Report</w:t>
      </w:r>
      <w:r w:rsidRPr="005E6CDB">
        <w:rPr>
          <w:rFonts w:cs="Times New Roman"/>
          <w:color w:val="000000"/>
          <w:szCs w:val="20"/>
          <w:shd w:val="clear" w:color="auto" w:fill="FFFFFF"/>
        </w:rPr>
        <w:t xml:space="preserve">, </w:t>
      </w:r>
      <w:r w:rsidRPr="002703CC">
        <w:rPr>
          <w:rFonts w:cs="Times New Roman"/>
          <w:smallCaps/>
          <w:color w:val="000000"/>
          <w:szCs w:val="20"/>
          <w:shd w:val="clear" w:color="auto" w:fill="FFFFFF"/>
        </w:rPr>
        <w:t>Davis Polk Resource Center</w:t>
      </w:r>
      <w:r w:rsidRPr="005E6CDB">
        <w:rPr>
          <w:rFonts w:cs="Times New Roman"/>
          <w:color w:val="000000"/>
          <w:szCs w:val="20"/>
          <w:shd w:val="clear" w:color="auto" w:fill="FFFFFF"/>
        </w:rPr>
        <w:t xml:space="preserve"> (</w:t>
      </w:r>
      <w:r>
        <w:rPr>
          <w:rFonts w:cs="Times New Roman"/>
          <w:color w:val="000000"/>
          <w:szCs w:val="20"/>
          <w:shd w:val="clear" w:color="auto" w:fill="FFFFFF"/>
        </w:rPr>
        <w:t xml:space="preserve">at </w:t>
      </w:r>
      <w:r w:rsidRPr="005E6CDB">
        <w:rPr>
          <w:rFonts w:cs="Times New Roman"/>
          <w:color w:val="000000"/>
          <w:szCs w:val="20"/>
          <w:shd w:val="clear" w:color="auto" w:fill="FFFFFF"/>
        </w:rPr>
        <w:t>http://www.davispolk.com/Dodd-Frank-Rulemaking-Progress-Report/</w:t>
      </w:r>
      <w:r>
        <w:rPr>
          <w:rFonts w:cs="Times New Roman"/>
          <w:color w:val="000000"/>
          <w:szCs w:val="20"/>
          <w:shd w:val="clear" w:color="auto" w:fill="FFFFFF"/>
        </w:rPr>
        <w:t>)</w:t>
      </w:r>
      <w:r w:rsidRPr="005E6CDB">
        <w:rPr>
          <w:rFonts w:cs="Times New Roman"/>
          <w:color w:val="000000"/>
          <w:szCs w:val="20"/>
          <w:shd w:val="clear" w:color="auto" w:fill="FFFFFF"/>
        </w:rPr>
        <w:t>.</w:t>
      </w:r>
      <w:proofErr w:type="gramEnd"/>
    </w:p>
  </w:footnote>
  <w:footnote w:id="5">
    <w:p w:rsidR="000018DD" w:rsidRDefault="000018DD">
      <w:pPr>
        <w:pStyle w:val="FootnoteText"/>
      </w:pPr>
      <w:r>
        <w:rPr>
          <w:rStyle w:val="FootnoteReference"/>
        </w:rPr>
        <w:footnoteRef/>
      </w:r>
      <w:r>
        <w:t xml:space="preserve"> </w:t>
      </w:r>
      <w:r>
        <w:tab/>
      </w:r>
      <w:r w:rsidRPr="002703CC">
        <w:rPr>
          <w:i/>
        </w:rPr>
        <w:t>The JOBS Act:  2014 Mid-Year Update</w:t>
      </w:r>
      <w:r>
        <w:t xml:space="preserve">, a publication of </w:t>
      </w:r>
      <w:r w:rsidRPr="002703CC">
        <w:rPr>
          <w:smallCaps/>
        </w:rPr>
        <w:t>Ernst &amp; Young</w:t>
      </w:r>
      <w:r>
        <w:t xml:space="preserve"> (Aug. 2014) (at </w:t>
      </w:r>
      <w:r w:rsidRPr="00F351AB">
        <w:t>http://www.ey.com/Publication/vwLUAssets/EY-the-JOBS-Act-2014/$FILE/EY-the-JOBS-Act-2014.pdf</w:t>
      </w:r>
      <w:r>
        <w:t>).</w:t>
      </w:r>
    </w:p>
  </w:footnote>
  <w:footnote w:id="6">
    <w:p w:rsidR="000018DD" w:rsidRDefault="000018DD">
      <w:pPr>
        <w:pStyle w:val="FootnoteText"/>
      </w:pPr>
      <w:r>
        <w:rPr>
          <w:rStyle w:val="FootnoteReference"/>
        </w:rPr>
        <w:footnoteRef/>
      </w:r>
      <w:r>
        <w:t xml:space="preserve"> </w:t>
      </w:r>
      <w:r>
        <w:tab/>
      </w:r>
      <w:r w:rsidRPr="00F7760F">
        <w:rPr>
          <w:i/>
        </w:rPr>
        <w:t>See</w:t>
      </w:r>
      <w:r>
        <w:t xml:space="preserve"> </w:t>
      </w:r>
      <w:proofErr w:type="spellStart"/>
      <w:r w:rsidRPr="002703CC">
        <w:rPr>
          <w:i/>
        </w:rPr>
        <w:t>Criminalising</w:t>
      </w:r>
      <w:proofErr w:type="spellEnd"/>
      <w:r w:rsidRPr="002703CC">
        <w:rPr>
          <w:i/>
        </w:rPr>
        <w:t xml:space="preserve"> the American Company</w:t>
      </w:r>
      <w:r>
        <w:t xml:space="preserve">, </w:t>
      </w:r>
      <w:r w:rsidRPr="002703CC">
        <w:rPr>
          <w:smallCaps/>
        </w:rPr>
        <w:t>The Economist</w:t>
      </w:r>
      <w:r>
        <w:t xml:space="preserve"> (Aug. 30, 2014).  The U.S. House of Representative’s Judiciary Committee formed a task force in 2013 to study the over-criminalization of conduct.  See </w:t>
      </w:r>
      <w:hyperlink r:id="rId4" w:history="1">
        <w:r w:rsidRPr="003F4286">
          <w:rPr>
            <w:rStyle w:val="Hyperlink"/>
          </w:rPr>
          <w:t>http://judiciary.house.gov/index.cfm/2014/2/house-judiciary-committee-reauthorizes-bipartisan-over-criminalization-task-force</w:t>
        </w:r>
      </w:hyperlink>
      <w:r>
        <w:t xml:space="preserve">.  </w:t>
      </w:r>
    </w:p>
  </w:footnote>
  <w:footnote w:id="7">
    <w:p w:rsidR="000018DD" w:rsidRDefault="000018DD" w:rsidP="005A1232">
      <w:pPr>
        <w:pStyle w:val="FootnoteText"/>
      </w:pPr>
      <w:r>
        <w:rPr>
          <w:rStyle w:val="FootnoteReference"/>
        </w:rPr>
        <w:footnoteRef/>
      </w:r>
      <w:r>
        <w:t xml:space="preserve"> </w:t>
      </w:r>
      <w:r>
        <w:tab/>
      </w:r>
      <w:proofErr w:type="gramStart"/>
      <w:r w:rsidRPr="000A11D3">
        <w:rPr>
          <w:i/>
        </w:rPr>
        <w:t>Id</w:t>
      </w:r>
      <w:r>
        <w:t xml:space="preserve">. </w:t>
      </w:r>
      <w:r w:rsidRPr="002703CC">
        <w:rPr>
          <w:smallCaps/>
        </w:rPr>
        <w:t>The Economist</w:t>
      </w:r>
      <w:r>
        <w:t xml:space="preserve"> at 22.</w:t>
      </w:r>
      <w:proofErr w:type="gramEnd"/>
      <w:r>
        <w:t xml:space="preserve">  Drawing from data maintained by University of Virginia law professor, Brandon Garrett, the article shows a dramatic increase in fines against corporations, increases in the number of prosecutions, and a decrease in the number of individuals sentenced.  </w:t>
      </w:r>
      <w:proofErr w:type="gramStart"/>
      <w:r>
        <w:t xml:space="preserve">Data at </w:t>
      </w:r>
      <w:hyperlink r:id="rId5" w:history="1">
        <w:r w:rsidRPr="003F4286">
          <w:rPr>
            <w:rStyle w:val="Hyperlink"/>
          </w:rPr>
          <w:t>http://lib.law.virginia.edu/Garrett/prosecution_agreements/home.suphp</w:t>
        </w:r>
      </w:hyperlink>
      <w:r>
        <w:t xml:space="preserve"> and </w:t>
      </w:r>
      <w:hyperlink r:id="rId6" w:history="1">
        <w:r w:rsidRPr="003F4286">
          <w:rPr>
            <w:rStyle w:val="Hyperlink"/>
          </w:rPr>
          <w:t>http://lib.law.virginia.edu/Garrett/plea_agreements/home.php</w:t>
        </w:r>
      </w:hyperlink>
      <w:r>
        <w:t>.</w:t>
      </w:r>
      <w:proofErr w:type="gramEnd"/>
      <w:r>
        <w:t xml:space="preserve">  In a speech to the New York Bar Association, Judge Jed S. </w:t>
      </w:r>
      <w:proofErr w:type="spellStart"/>
      <w:r>
        <w:t>Rakoff</w:t>
      </w:r>
      <w:proofErr w:type="spellEnd"/>
      <w:r>
        <w:t xml:space="preserve"> criticized the shift away from prosecuting individuals as diminishing the deterrent effect of prosecutions.  </w:t>
      </w:r>
      <w:proofErr w:type="gramStart"/>
      <w:r>
        <w:t xml:space="preserve">Reprinted in </w:t>
      </w:r>
      <w:r w:rsidRPr="007849BA">
        <w:rPr>
          <w:i/>
        </w:rPr>
        <w:t>The Advocate for Institutional Investors</w:t>
      </w:r>
      <w:r>
        <w:t xml:space="preserve">, a publication of </w:t>
      </w:r>
      <w:r w:rsidRPr="007849BA">
        <w:rPr>
          <w:smallCaps/>
        </w:rPr>
        <w:t xml:space="preserve">Bernstein </w:t>
      </w:r>
      <w:proofErr w:type="spellStart"/>
      <w:r w:rsidRPr="007849BA">
        <w:rPr>
          <w:smallCaps/>
        </w:rPr>
        <w:t>Litowitz</w:t>
      </w:r>
      <w:proofErr w:type="spellEnd"/>
      <w:r w:rsidRPr="007849BA">
        <w:rPr>
          <w:smallCaps/>
        </w:rPr>
        <w:t xml:space="preserve"> Berger &amp; Grossmann LLP</w:t>
      </w:r>
      <w:r w:rsidRPr="00B27FE1">
        <w:t xml:space="preserve"> </w:t>
      </w:r>
      <w:r>
        <w:t xml:space="preserve">(Summer 2014) (at </w:t>
      </w:r>
      <w:hyperlink r:id="rId7" w:history="1">
        <w:r w:rsidRPr="00D30A26">
          <w:rPr>
            <w:rStyle w:val="Hyperlink"/>
          </w:rPr>
          <w:t>http://www.blbglaw.com/news/publications/data/00171/_res/id=File1/Adv_Summer2014_ Rakoff.pdf</w:t>
        </w:r>
      </w:hyperlink>
      <w:r>
        <w:t>).</w:t>
      </w:r>
      <w:proofErr w:type="gramEnd"/>
      <w:r>
        <w:t xml:space="preserve"> </w:t>
      </w:r>
    </w:p>
  </w:footnote>
  <w:footnote w:id="8">
    <w:p w:rsidR="000018DD" w:rsidRPr="00626B25" w:rsidRDefault="000018DD">
      <w:pPr>
        <w:pStyle w:val="FootnoteText"/>
        <w:rPr>
          <w:rFonts w:cs="Times New Roman"/>
        </w:rPr>
      </w:pPr>
      <w:r>
        <w:rPr>
          <w:rStyle w:val="FootnoteReference"/>
        </w:rPr>
        <w:footnoteRef/>
      </w:r>
      <w:r>
        <w:t xml:space="preserve"> </w:t>
      </w:r>
      <w:r>
        <w:tab/>
      </w:r>
      <w:proofErr w:type="gramStart"/>
      <w:r w:rsidRPr="000A11D3">
        <w:rPr>
          <w:i/>
        </w:rPr>
        <w:t>Id</w:t>
      </w:r>
      <w:r>
        <w:t xml:space="preserve">. </w:t>
      </w:r>
      <w:r w:rsidRPr="002703CC">
        <w:rPr>
          <w:smallCaps/>
        </w:rPr>
        <w:t>The Economist</w:t>
      </w:r>
      <w:r>
        <w:t xml:space="preserve"> at 21.</w:t>
      </w:r>
      <w:proofErr w:type="gramEnd"/>
      <w:r>
        <w:t xml:space="preserve">  </w:t>
      </w:r>
      <w:r w:rsidRPr="00626B25">
        <w:rPr>
          <w:i/>
        </w:rPr>
        <w:t>The Economist</w:t>
      </w:r>
      <w:r>
        <w:t xml:space="preserve"> article did not include the $4.3 billion in fines paid by six banks, including Citibank and J.P. Morgan, for alleged manipulation of foreign currency markets. </w:t>
      </w:r>
      <w:r w:rsidRPr="00626B25">
        <w:rPr>
          <w:rFonts w:cs="Times New Roman"/>
        </w:rPr>
        <w:t xml:space="preserve"> </w:t>
      </w:r>
      <w:r w:rsidRPr="00D521B3">
        <w:rPr>
          <w:rFonts w:cs="Times New Roman"/>
          <w:i/>
          <w:shd w:val="clear" w:color="auto" w:fill="FFFFFF"/>
        </w:rPr>
        <w:t>Regulators Fine Global Banks $4.3 Billion in Currency Investigation</w:t>
      </w:r>
      <w:r w:rsidRPr="00626B25">
        <w:rPr>
          <w:rFonts w:cs="Times New Roman"/>
          <w:shd w:val="clear" w:color="auto" w:fill="FFFFFF"/>
        </w:rPr>
        <w:t xml:space="preserve">, </w:t>
      </w:r>
      <w:r w:rsidRPr="00D521B3">
        <w:rPr>
          <w:rFonts w:cs="Times New Roman"/>
          <w:smallCaps/>
          <w:shd w:val="clear" w:color="auto" w:fill="FFFFFF"/>
        </w:rPr>
        <w:t>Reuters</w:t>
      </w:r>
      <w:r w:rsidRPr="00626B25">
        <w:rPr>
          <w:rFonts w:cs="Times New Roman"/>
          <w:shd w:val="clear" w:color="auto" w:fill="FFFFFF"/>
        </w:rPr>
        <w:t xml:space="preserve"> (Nov.</w:t>
      </w:r>
      <w:r>
        <w:rPr>
          <w:rFonts w:cs="Times New Roman"/>
          <w:shd w:val="clear" w:color="auto" w:fill="FFFFFF"/>
        </w:rPr>
        <w:t> </w:t>
      </w:r>
      <w:r w:rsidRPr="00626B25">
        <w:rPr>
          <w:rFonts w:cs="Times New Roman"/>
          <w:shd w:val="clear" w:color="auto" w:fill="FFFFFF"/>
        </w:rPr>
        <w:t>12, 2014).</w:t>
      </w:r>
    </w:p>
  </w:footnote>
  <w:footnote w:id="9">
    <w:p w:rsidR="000018DD" w:rsidRPr="00412A82" w:rsidRDefault="000018DD">
      <w:pPr>
        <w:pStyle w:val="FootnoteText"/>
        <w:rPr>
          <w:rFonts w:cs="Times New Roman"/>
        </w:rPr>
      </w:pPr>
      <w:r>
        <w:rPr>
          <w:rStyle w:val="FootnoteReference"/>
        </w:rPr>
        <w:footnoteRef/>
      </w:r>
      <w:r>
        <w:t xml:space="preserve"> </w:t>
      </w:r>
      <w:r>
        <w:tab/>
      </w:r>
      <w:r w:rsidRPr="00D0399D">
        <w:rPr>
          <w:rFonts w:ascii="inherit" w:hAnsi="inherit"/>
          <w:iCs/>
          <w:color w:val="000000"/>
        </w:rPr>
        <w:t xml:space="preserve">The </w:t>
      </w:r>
      <w:r w:rsidRPr="00E166F2">
        <w:rPr>
          <w:rFonts w:ascii="inherit" w:hAnsi="inherit"/>
          <w:i/>
          <w:iCs/>
          <w:color w:val="000000"/>
        </w:rPr>
        <w:t>New York Times</w:t>
      </w:r>
      <w:r w:rsidRPr="00D0399D">
        <w:rPr>
          <w:rFonts w:ascii="inherit" w:hAnsi="inherit"/>
          <w:iCs/>
          <w:color w:val="000000"/>
        </w:rPr>
        <w:t xml:space="preserve"> </w:t>
      </w:r>
      <w:r>
        <w:rPr>
          <w:rFonts w:ascii="inherit" w:hAnsi="inherit"/>
          <w:iCs/>
          <w:color w:val="000000"/>
        </w:rPr>
        <w:t xml:space="preserve">has reported on alleged violations of the </w:t>
      </w:r>
      <w:r>
        <w:rPr>
          <w:color w:val="000000"/>
        </w:rPr>
        <w:t xml:space="preserve">Foreign Corrupt Practices Act by Wal-Mart’s Mexican subsidiary.  Elizabeth A. Harris, </w:t>
      </w:r>
      <w:r w:rsidRPr="00D521B3">
        <w:rPr>
          <w:i/>
          <w:color w:val="000000"/>
        </w:rPr>
        <w:t xml:space="preserve">After Bribery Scandal, High-Level Departures at </w:t>
      </w:r>
      <w:proofErr w:type="spellStart"/>
      <w:r w:rsidRPr="00D521B3">
        <w:rPr>
          <w:i/>
          <w:color w:val="000000"/>
        </w:rPr>
        <w:t>Walmart</w:t>
      </w:r>
      <w:proofErr w:type="spellEnd"/>
      <w:r>
        <w:rPr>
          <w:color w:val="000000"/>
        </w:rPr>
        <w:t xml:space="preserve">, </w:t>
      </w:r>
      <w:proofErr w:type="spellStart"/>
      <w:r w:rsidRPr="002703CC">
        <w:rPr>
          <w:smallCaps/>
          <w:color w:val="000000"/>
        </w:rPr>
        <w:t>N.Y.Times</w:t>
      </w:r>
      <w:proofErr w:type="spellEnd"/>
      <w:r>
        <w:rPr>
          <w:color w:val="000000"/>
        </w:rPr>
        <w:t xml:space="preserve"> (June 4, 2014</w:t>
      </w:r>
      <w:r>
        <w:rPr>
          <w:rFonts w:ascii="inherit" w:hAnsi="inherit"/>
          <w:color w:val="000000"/>
        </w:rPr>
        <w:t xml:space="preserve">); </w:t>
      </w:r>
      <w:r>
        <w:rPr>
          <w:color w:val="000000"/>
        </w:rPr>
        <w:t xml:space="preserve">David Barstow, </w:t>
      </w:r>
      <w:r w:rsidRPr="00D521B3">
        <w:rPr>
          <w:i/>
          <w:color w:val="000000"/>
        </w:rPr>
        <w:t>The Bribery Aisle:  How W</w:t>
      </w:r>
      <w:r w:rsidRPr="00412A82">
        <w:rPr>
          <w:rFonts w:cs="Times New Roman"/>
          <w:i/>
          <w:color w:val="000000"/>
        </w:rPr>
        <w:t>al-Mart Got Its Way in Mexico</w:t>
      </w:r>
      <w:r w:rsidRPr="00412A82">
        <w:rPr>
          <w:rFonts w:cs="Times New Roman"/>
          <w:color w:val="000000"/>
        </w:rPr>
        <w:t xml:space="preserve">, </w:t>
      </w:r>
      <w:proofErr w:type="spellStart"/>
      <w:r w:rsidRPr="00412A82">
        <w:rPr>
          <w:rFonts w:cs="Times New Roman"/>
          <w:smallCaps/>
          <w:color w:val="000000"/>
        </w:rPr>
        <w:t>N.Y.Times</w:t>
      </w:r>
      <w:proofErr w:type="spellEnd"/>
      <w:r w:rsidRPr="00412A82">
        <w:rPr>
          <w:rFonts w:cs="Times New Roman"/>
          <w:color w:val="000000"/>
        </w:rPr>
        <w:t xml:space="preserve"> (Dec. 17, 2012).  The General Motors problems stem from its handling of faulty ignition switches.  Jeff Bennett, </w:t>
      </w:r>
      <w:r w:rsidRPr="00412A82">
        <w:rPr>
          <w:rFonts w:cs="Times New Roman"/>
          <w:i/>
          <w:color w:val="000000"/>
        </w:rPr>
        <w:t>GM Documents Show Senior Executive Had Role in Switch</w:t>
      </w:r>
      <w:r w:rsidRPr="00412A82">
        <w:rPr>
          <w:rFonts w:cs="Times New Roman"/>
          <w:color w:val="000000"/>
        </w:rPr>
        <w:t xml:space="preserve">, </w:t>
      </w:r>
      <w:r w:rsidRPr="00412A82">
        <w:rPr>
          <w:rFonts w:cs="Times New Roman"/>
          <w:smallCaps/>
          <w:color w:val="000000"/>
        </w:rPr>
        <w:t>Wall St. Jour</w:t>
      </w:r>
      <w:r w:rsidRPr="00412A82">
        <w:rPr>
          <w:rFonts w:cs="Times New Roman"/>
          <w:color w:val="000000"/>
        </w:rPr>
        <w:t xml:space="preserve">. (June 26, 2014) (reporting that </w:t>
      </w:r>
      <w:r w:rsidRPr="00412A82">
        <w:rPr>
          <w:rFonts w:cs="Times New Roman"/>
        </w:rPr>
        <w:t xml:space="preserve">federal prosecutors have issued grand jury subpoenas concerning the ignition switch defect).  </w:t>
      </w:r>
    </w:p>
  </w:footnote>
  <w:footnote w:id="10">
    <w:p w:rsidR="000018DD" w:rsidRDefault="000018DD">
      <w:pPr>
        <w:pStyle w:val="FootnoteText"/>
      </w:pPr>
      <w:r>
        <w:rPr>
          <w:rStyle w:val="FootnoteReference"/>
        </w:rPr>
        <w:footnoteRef/>
      </w:r>
      <w:r>
        <w:t xml:space="preserve"> </w:t>
      </w:r>
      <w:r>
        <w:tab/>
        <w:t xml:space="preserve">Law professor John Baker has estimated the number of Federal crimes as nearing 5,000 and the number of regulatory offenses that might be the basis of criminal prosecution is certainly over 300,000.  Baker cites an average of 67.17 new crimes annually between 2008 and 2013, including 195 new crimes in 2008.  </w:t>
      </w:r>
      <w:proofErr w:type="gramStart"/>
      <w:r>
        <w:t xml:space="preserve">John Baker, “The Crimes on the Books and Committee Jurisdiction”, </w:t>
      </w:r>
      <w:r w:rsidRPr="00412206">
        <w:rPr>
          <w:i/>
        </w:rPr>
        <w:t>Testimony before the Committee on the Judiciary</w:t>
      </w:r>
      <w:r>
        <w:t xml:space="preserve">, </w:t>
      </w:r>
      <w:r w:rsidRPr="00412206">
        <w:rPr>
          <w:smallCaps/>
        </w:rPr>
        <w:t>U.S. House of Representatives Task Force on Over-Criminalization</w:t>
      </w:r>
      <w:r>
        <w:t xml:space="preserve"> (July 25, 2014) (at </w:t>
      </w:r>
      <w:hyperlink r:id="rId8" w:history="1">
        <w:r w:rsidRPr="003F4286">
          <w:rPr>
            <w:rStyle w:val="Hyperlink"/>
          </w:rPr>
          <w:t>file:///P:/baker-testimony.pdf</w:t>
        </w:r>
      </w:hyperlink>
      <w:r>
        <w:t>).</w:t>
      </w:r>
      <w:proofErr w:type="gramEnd"/>
      <w:r>
        <w:t xml:space="preserve">  These numbers do not account for state criminal statutes.  </w:t>
      </w:r>
    </w:p>
  </w:footnote>
  <w:footnote w:id="11">
    <w:p w:rsidR="000018DD" w:rsidRDefault="000018DD">
      <w:pPr>
        <w:pStyle w:val="FootnoteText"/>
      </w:pPr>
      <w:r>
        <w:rPr>
          <w:rStyle w:val="FootnoteReference"/>
        </w:rPr>
        <w:footnoteRef/>
      </w:r>
      <w:r>
        <w:t xml:space="preserve"> </w:t>
      </w:r>
      <w:r>
        <w:tab/>
      </w:r>
      <w:proofErr w:type="spellStart"/>
      <w:r>
        <w:t>Lemos</w:t>
      </w:r>
      <w:proofErr w:type="spellEnd"/>
      <w:r>
        <w:t xml:space="preserve">, Margaret H. and Max </w:t>
      </w:r>
      <w:proofErr w:type="spellStart"/>
      <w:r>
        <w:t>Minzer</w:t>
      </w:r>
      <w:proofErr w:type="spellEnd"/>
      <w:r>
        <w:t xml:space="preserve">, </w:t>
      </w:r>
      <w:r w:rsidRPr="00944839">
        <w:rPr>
          <w:i/>
        </w:rPr>
        <w:t>For-Profit Public Enforcement</w:t>
      </w:r>
      <w:r>
        <w:t xml:space="preserve">, </w:t>
      </w:r>
      <w:proofErr w:type="gramStart"/>
      <w:r>
        <w:t xml:space="preserve">127 </w:t>
      </w:r>
      <w:proofErr w:type="spellStart"/>
      <w:r w:rsidRPr="007E08AD">
        <w:rPr>
          <w:smallCaps/>
        </w:rPr>
        <w:t>Harv.L.Rev</w:t>
      </w:r>
      <w:proofErr w:type="spellEnd"/>
      <w:proofErr w:type="gramEnd"/>
      <w:r>
        <w:t>. 853 (2014) (contending that</w:t>
      </w:r>
      <w:r w:rsidRPr="007E08AD">
        <w:rPr>
          <w:rFonts w:cs="Times New Roman"/>
        </w:rPr>
        <w:t xml:space="preserve"> </w:t>
      </w:r>
      <w:r>
        <w:rPr>
          <w:rFonts w:cs="Times New Roman"/>
        </w:rPr>
        <w:t xml:space="preserve">prosecutors </w:t>
      </w:r>
      <w:r w:rsidRPr="007E08AD">
        <w:rPr>
          <w:rFonts w:cs="Times New Roman"/>
        </w:rPr>
        <w:t>“often seek large monetary awards for self-interested reasons divorced from the public interest in deterrence”).</w:t>
      </w:r>
    </w:p>
  </w:footnote>
  <w:footnote w:id="12">
    <w:p w:rsidR="000018DD" w:rsidRDefault="000018DD" w:rsidP="006A6C89">
      <w:pPr>
        <w:pStyle w:val="FootnoteText"/>
      </w:pPr>
      <w:r>
        <w:rPr>
          <w:rStyle w:val="FootnoteReference"/>
        </w:rPr>
        <w:footnoteRef/>
      </w:r>
      <w:r>
        <w:t xml:space="preserve"> </w:t>
      </w:r>
      <w:r>
        <w:tab/>
        <w:t xml:space="preserve">New York settled charges with five banks in 2012 for $25 billion, the proceeds of which were to have gone to “borrowers harmed by the bank fraud.”  Instead, the proceeds were dispersed to several state agencies, some of which played no part in the settlement.  </w:t>
      </w:r>
      <w:r w:rsidRPr="002703CC">
        <w:rPr>
          <w:smallCaps/>
        </w:rPr>
        <w:t>The Economist</w:t>
      </w:r>
      <w:r>
        <w:t xml:space="preserve">, </w:t>
      </w:r>
      <w:r w:rsidRPr="006B3C87">
        <w:rPr>
          <w:i/>
        </w:rPr>
        <w:t>supra</w:t>
      </w:r>
      <w:r>
        <w:t xml:space="preserve"> at 23-24.  In fiscal 2014, the Justice Department announced that it had collected $25 billion in its cases, more than tripling its receipts in 2013.  It retained $13.7 billion and remitted the balance to other agencies and entities.  Andrew </w:t>
      </w:r>
      <w:proofErr w:type="spellStart"/>
      <w:r>
        <w:t>Ramonas</w:t>
      </w:r>
      <w:proofErr w:type="spellEnd"/>
      <w:r>
        <w:t xml:space="preserve">, </w:t>
      </w:r>
      <w:r w:rsidRPr="00412206">
        <w:rPr>
          <w:i/>
        </w:rPr>
        <w:t>Feds Collect $24.7B in Penalties – Mostly from Big Banks</w:t>
      </w:r>
      <w:r>
        <w:t xml:space="preserve">, </w:t>
      </w:r>
      <w:r w:rsidRPr="00412206">
        <w:rPr>
          <w:smallCaps/>
        </w:rPr>
        <w:t>The Blog of Legal Times</w:t>
      </w:r>
      <w:r>
        <w:t xml:space="preserve"> (Nov. 19, 2014) (at </w:t>
      </w:r>
      <w:hyperlink r:id="rId9" w:history="1">
        <w:r w:rsidRPr="003F4286">
          <w:rPr>
            <w:rStyle w:val="Hyperlink"/>
          </w:rPr>
          <w:t>http://www.nationallawjournal.com/legaltimes/id=1202676887131/Feds-Collect-247B-in-PenaltiesMostly-From-Big-Banks</w:t>
        </w:r>
      </w:hyperlink>
      <w:r>
        <w:t xml:space="preserve">). </w:t>
      </w:r>
      <w:r w:rsidRPr="006870FB">
        <w:t xml:space="preserve"> </w:t>
      </w:r>
      <w:r>
        <w:t xml:space="preserve">The annual cost of the 94 U.S. Attorney offices and the Justice Department’s litigation branch was $2.8 billion in 2013.  </w:t>
      </w:r>
      <w:r w:rsidRPr="002703CC">
        <w:rPr>
          <w:smallCaps/>
        </w:rPr>
        <w:t>The Economist</w:t>
      </w:r>
      <w:r>
        <w:t xml:space="preserve">, </w:t>
      </w:r>
      <w:r w:rsidRPr="00CB2242">
        <w:rPr>
          <w:i/>
        </w:rPr>
        <w:t>supra</w:t>
      </w:r>
      <w:r>
        <w:t xml:space="preserve"> at 21.</w:t>
      </w:r>
    </w:p>
  </w:footnote>
  <w:footnote w:id="13">
    <w:p w:rsidR="000018DD" w:rsidRDefault="000018DD">
      <w:pPr>
        <w:pStyle w:val="FootnoteText"/>
      </w:pPr>
      <w:r>
        <w:rPr>
          <w:rStyle w:val="FootnoteReference"/>
        </w:rPr>
        <w:footnoteRef/>
      </w:r>
      <w:r>
        <w:t xml:space="preserve"> </w:t>
      </w:r>
      <w:r>
        <w:tab/>
        <w:t xml:space="preserve">New York has received $5 billion in 2014 from settlements with Credit Suisse, BNP Paribas and Citigroup, which is far more than any other state is receiving.  Karen </w:t>
      </w:r>
      <w:proofErr w:type="spellStart"/>
      <w:r>
        <w:t>Freifeld</w:t>
      </w:r>
      <w:proofErr w:type="spellEnd"/>
      <w:r>
        <w:t xml:space="preserve"> and Edward </w:t>
      </w:r>
      <w:proofErr w:type="spellStart"/>
      <w:r>
        <w:t>Krudy</w:t>
      </w:r>
      <w:proofErr w:type="spellEnd"/>
      <w:r>
        <w:t xml:space="preserve">, </w:t>
      </w:r>
      <w:r w:rsidRPr="00514FD7">
        <w:rPr>
          <w:i/>
        </w:rPr>
        <w:t>BNP’s Monstrous $9 Billion Fine Is Going Toward . . . New Office Carpets</w:t>
      </w:r>
      <w:r>
        <w:t xml:space="preserve">, </w:t>
      </w:r>
      <w:r w:rsidRPr="00514FD7">
        <w:rPr>
          <w:smallCaps/>
        </w:rPr>
        <w:t>Reuters</w:t>
      </w:r>
      <w:r>
        <w:t xml:space="preserve"> (July 24, 2014) (at </w:t>
      </w:r>
      <w:hyperlink r:id="rId10" w:history="1">
        <w:r w:rsidRPr="003F4286">
          <w:rPr>
            <w:rStyle w:val="Hyperlink"/>
          </w:rPr>
          <w:t>http://www.businessinsider.com/r-bank-settlements-create-windfall-for-us-and-wrangling-over-how-it-is-spent-2014-24</w:t>
        </w:r>
      </w:hyperlink>
      <w:r>
        <w:t xml:space="preserve">). </w:t>
      </w:r>
    </w:p>
  </w:footnote>
  <w:footnote w:id="14">
    <w:p w:rsidR="000018DD" w:rsidRDefault="000018DD">
      <w:pPr>
        <w:pStyle w:val="FootnoteText"/>
      </w:pPr>
      <w:r>
        <w:rPr>
          <w:rStyle w:val="FootnoteReference"/>
        </w:rPr>
        <w:footnoteRef/>
      </w:r>
      <w:r>
        <w:t xml:space="preserve"> </w:t>
      </w:r>
      <w:r>
        <w:tab/>
      </w:r>
      <w:proofErr w:type="spellStart"/>
      <w:proofErr w:type="gramStart"/>
      <w:r>
        <w:t>Rakoff</w:t>
      </w:r>
      <w:proofErr w:type="spellEnd"/>
      <w:r>
        <w:t xml:space="preserve">, </w:t>
      </w:r>
      <w:r w:rsidRPr="00D24FE3">
        <w:rPr>
          <w:i/>
        </w:rPr>
        <w:t>supra</w:t>
      </w:r>
      <w:r>
        <w:t xml:space="preserve"> at fn. 7.</w:t>
      </w:r>
      <w:proofErr w:type="gramEnd"/>
    </w:p>
  </w:footnote>
  <w:footnote w:id="15">
    <w:p w:rsidR="000018DD" w:rsidRDefault="000018DD">
      <w:pPr>
        <w:pStyle w:val="FootnoteText"/>
      </w:pPr>
      <w:r>
        <w:rPr>
          <w:rStyle w:val="FootnoteReference"/>
        </w:rPr>
        <w:footnoteRef/>
      </w:r>
      <w:r>
        <w:t xml:space="preserve"> </w:t>
      </w:r>
      <w:r>
        <w:tab/>
      </w:r>
      <w:r w:rsidRPr="00E11982">
        <w:rPr>
          <w:i/>
        </w:rPr>
        <w:t>Id</w:t>
      </w:r>
      <w:r>
        <w:t>.</w:t>
      </w:r>
    </w:p>
  </w:footnote>
  <w:footnote w:id="16">
    <w:p w:rsidR="000018DD" w:rsidRDefault="000018DD">
      <w:pPr>
        <w:pStyle w:val="FootnoteText"/>
      </w:pPr>
      <w:r>
        <w:rPr>
          <w:rStyle w:val="FootnoteReference"/>
        </w:rPr>
        <w:footnoteRef/>
      </w:r>
      <w:r>
        <w:t xml:space="preserve"> </w:t>
      </w:r>
      <w:r>
        <w:tab/>
        <w:t xml:space="preserve">Michael </w:t>
      </w:r>
      <w:proofErr w:type="spellStart"/>
      <w:r>
        <w:t>Scarcella</w:t>
      </w:r>
      <w:proofErr w:type="spellEnd"/>
      <w:r>
        <w:t xml:space="preserve">, </w:t>
      </w:r>
      <w:r w:rsidRPr="00A82CC0">
        <w:rPr>
          <w:i/>
        </w:rPr>
        <w:t>Justice Department Sued over Access to Non-Prosecution Agreement</w:t>
      </w:r>
      <w:r>
        <w:t xml:space="preserve">, </w:t>
      </w:r>
      <w:r w:rsidRPr="00A82CC0">
        <w:rPr>
          <w:smallCaps/>
        </w:rPr>
        <w:t>Blog of Legal Times</w:t>
      </w:r>
      <w:r>
        <w:t xml:space="preserve"> (Dec. 2, 2013) (discussing a UVA law clinic’s FOIA (successful) suit to obtain a non-prosecution agreement).  The clinic’s suit was filed in conjunction with UVA Prof. Brandon Garrett’s compilation of data regarding deferred prosecution and non-prosecution agreements in light of the “strong public interest in understanding the judicial system and why admitted wrongdoers are not criminally prosecuted”; quoting from the complaint at </w:t>
      </w:r>
      <w:hyperlink r:id="rId11" w:history="1">
        <w:r w:rsidRPr="003F4286">
          <w:rPr>
            <w:rStyle w:val="Hyperlink"/>
          </w:rPr>
          <w:t>http://www.law.virginia.edu/pdf/news/first_amendment_clinic_doj_lawsuit.pdf</w:t>
        </w:r>
      </w:hyperlink>
      <w:r>
        <w:t xml:space="preserve">). </w:t>
      </w:r>
    </w:p>
  </w:footnote>
  <w:footnote w:id="17">
    <w:p w:rsidR="000018DD" w:rsidRPr="000948D0" w:rsidRDefault="000018DD" w:rsidP="00BC3274">
      <w:pPr>
        <w:pStyle w:val="Footnotetext0"/>
        <w:rPr>
          <w:rFonts w:cs="Times New Roman"/>
          <w:szCs w:val="20"/>
        </w:rPr>
      </w:pPr>
      <w:r>
        <w:rPr>
          <w:rStyle w:val="FootnoteReference"/>
        </w:rPr>
        <w:footnoteRef/>
      </w:r>
      <w:r>
        <w:t xml:space="preserve"> </w:t>
      </w:r>
      <w:r>
        <w:tab/>
      </w:r>
      <w:r w:rsidRPr="000948D0">
        <w:rPr>
          <w:rFonts w:cs="Times New Roman"/>
          <w:szCs w:val="20"/>
        </w:rPr>
        <w:t xml:space="preserve">573 U.S. ____, 134 </w:t>
      </w:r>
      <w:proofErr w:type="spellStart"/>
      <w:r w:rsidRPr="000948D0">
        <w:rPr>
          <w:rFonts w:cs="Times New Roman"/>
          <w:szCs w:val="20"/>
        </w:rPr>
        <w:t>S.Ct</w:t>
      </w:r>
      <w:proofErr w:type="spellEnd"/>
      <w:r w:rsidRPr="000948D0">
        <w:rPr>
          <w:rFonts w:cs="Times New Roman"/>
          <w:szCs w:val="20"/>
        </w:rPr>
        <w:t xml:space="preserve">. 2751 (2014), </w:t>
      </w:r>
      <w:r w:rsidRPr="000948D0">
        <w:rPr>
          <w:rFonts w:cs="Times New Roman"/>
          <w:i/>
          <w:szCs w:val="20"/>
        </w:rPr>
        <w:t>consolidated with</w:t>
      </w:r>
      <w:r w:rsidRPr="000948D0">
        <w:rPr>
          <w:rFonts w:cs="Times New Roman"/>
          <w:szCs w:val="20"/>
        </w:rPr>
        <w:t xml:space="preserve"> </w:t>
      </w:r>
      <w:r w:rsidRPr="000948D0">
        <w:rPr>
          <w:rFonts w:cs="Times New Roman"/>
          <w:iCs/>
          <w:szCs w:val="20"/>
        </w:rPr>
        <w:t xml:space="preserve">Conestoga Wood Specialties Corp. </w:t>
      </w:r>
      <w:r w:rsidRPr="000948D0">
        <w:rPr>
          <w:rFonts w:cs="Times New Roman"/>
          <w:szCs w:val="20"/>
        </w:rPr>
        <w:t xml:space="preserve">v. </w:t>
      </w:r>
      <w:r w:rsidRPr="000948D0">
        <w:rPr>
          <w:rFonts w:cs="Times New Roman"/>
          <w:iCs/>
          <w:szCs w:val="20"/>
        </w:rPr>
        <w:t xml:space="preserve">Burwell, </w:t>
      </w:r>
      <w:r w:rsidRPr="000948D0">
        <w:rPr>
          <w:rFonts w:cs="Times New Roman"/>
          <w:szCs w:val="20"/>
        </w:rPr>
        <w:t xml:space="preserve">No. 13–356. </w:t>
      </w:r>
    </w:p>
  </w:footnote>
  <w:footnote w:id="18">
    <w:p w:rsidR="000018DD" w:rsidRPr="00367E4F" w:rsidRDefault="000018DD">
      <w:pPr>
        <w:pStyle w:val="FootnoteText"/>
        <w:rPr>
          <w:rStyle w:val="FootnotetextChar0"/>
        </w:rPr>
      </w:pPr>
      <w:r>
        <w:rPr>
          <w:rStyle w:val="FootnoteReference"/>
        </w:rPr>
        <w:footnoteRef/>
      </w:r>
      <w:r>
        <w:t xml:space="preserve"> </w:t>
      </w:r>
      <w:r>
        <w:tab/>
        <w:t xml:space="preserve">The Patient Protection and Affordable Care Act, </w:t>
      </w:r>
      <w:proofErr w:type="spellStart"/>
      <w:r w:rsidRPr="00367E4F">
        <w:rPr>
          <w:rStyle w:val="FootnotetextChar0"/>
        </w:rPr>
        <w:t>Pub.L</w:t>
      </w:r>
      <w:proofErr w:type="spellEnd"/>
      <w:r w:rsidRPr="00367E4F">
        <w:rPr>
          <w:rStyle w:val="FootnotetextChar0"/>
        </w:rPr>
        <w:t xml:space="preserve">. </w:t>
      </w:r>
      <w:r>
        <w:rPr>
          <w:rStyle w:val="FootnotetextChar0"/>
        </w:rPr>
        <w:t xml:space="preserve">No. </w:t>
      </w:r>
      <w:r w:rsidRPr="00367E4F">
        <w:rPr>
          <w:rStyle w:val="FootnotetextChar0"/>
        </w:rPr>
        <w:t>111–148, 124</w:t>
      </w:r>
      <w:r>
        <w:rPr>
          <w:rStyle w:val="FootnotetextChar0"/>
        </w:rPr>
        <w:t xml:space="preserve">, </w:t>
      </w:r>
      <w:r w:rsidRPr="00367E4F">
        <w:rPr>
          <w:rStyle w:val="FootnotetextChar0"/>
        </w:rPr>
        <w:t>Stat. 119</w:t>
      </w:r>
      <w:r>
        <w:rPr>
          <w:rStyle w:val="FootnotetextChar0"/>
        </w:rPr>
        <w:t xml:space="preserve"> (March 23, 2010).</w:t>
      </w:r>
    </w:p>
  </w:footnote>
  <w:footnote w:id="19">
    <w:p w:rsidR="000018DD" w:rsidRDefault="000018DD">
      <w:pPr>
        <w:pStyle w:val="FootnoteText"/>
      </w:pPr>
      <w:r>
        <w:rPr>
          <w:rStyle w:val="FootnoteReference"/>
        </w:rPr>
        <w:footnoteRef/>
      </w:r>
      <w:r>
        <w:t xml:space="preserve"> </w:t>
      </w:r>
      <w:r>
        <w:tab/>
        <w:t xml:space="preserve">Religious Freedom Restoration Act of 1993, </w:t>
      </w:r>
      <w:proofErr w:type="spellStart"/>
      <w:r>
        <w:t>Pub.L</w:t>
      </w:r>
      <w:proofErr w:type="spellEnd"/>
      <w:r>
        <w:t xml:space="preserve">. No. 103-141, 107 St. 1488 (Nov. 16, 1993).  </w:t>
      </w:r>
    </w:p>
  </w:footnote>
  <w:footnote w:id="20">
    <w:p w:rsidR="000018DD" w:rsidRPr="008109F7" w:rsidRDefault="000018DD">
      <w:pPr>
        <w:pStyle w:val="FootnoteText"/>
        <w:rPr>
          <w:rStyle w:val="FootnotetextChar0"/>
        </w:rPr>
      </w:pPr>
      <w:r>
        <w:rPr>
          <w:rStyle w:val="FootnoteReference"/>
        </w:rPr>
        <w:footnoteRef/>
      </w:r>
      <w:r>
        <w:t xml:space="preserve"> </w:t>
      </w:r>
      <w:r>
        <w:tab/>
      </w:r>
      <w:proofErr w:type="gramStart"/>
      <w:r w:rsidRPr="008109F7">
        <w:rPr>
          <w:rStyle w:val="FootnotetextChar0"/>
        </w:rPr>
        <w:t>Hobby Lobby Stores, Inc. v. Sebelius, 723 F.3d 1114 (10</w:t>
      </w:r>
      <w:r w:rsidRPr="008109F7">
        <w:rPr>
          <w:rStyle w:val="FootnotetextChar0"/>
          <w:vertAlign w:val="superscript"/>
        </w:rPr>
        <w:t>th</w:t>
      </w:r>
      <w:r>
        <w:rPr>
          <w:rStyle w:val="FootnotetextChar0"/>
        </w:rPr>
        <w:t xml:space="preserve"> </w:t>
      </w:r>
      <w:r w:rsidRPr="008109F7">
        <w:rPr>
          <w:rStyle w:val="FootnotetextChar0"/>
        </w:rPr>
        <w:t>Cir. 2013).</w:t>
      </w:r>
      <w:proofErr w:type="gramEnd"/>
    </w:p>
  </w:footnote>
  <w:footnote w:id="21">
    <w:p w:rsidR="000018DD" w:rsidRPr="008C36D0" w:rsidRDefault="000018DD">
      <w:pPr>
        <w:pStyle w:val="FootnoteText"/>
      </w:pPr>
      <w:r>
        <w:rPr>
          <w:rStyle w:val="FootnoteReference"/>
        </w:rPr>
        <w:footnoteRef/>
      </w:r>
      <w:r>
        <w:t xml:space="preserve"> </w:t>
      </w:r>
      <w:r>
        <w:tab/>
      </w:r>
      <w:proofErr w:type="gramStart"/>
      <w:r w:rsidRPr="008C36D0">
        <w:rPr>
          <w:iCs/>
        </w:rPr>
        <w:t xml:space="preserve">Conestoga Wood Specialties Corp. </w:t>
      </w:r>
      <w:r w:rsidRPr="008C36D0">
        <w:t xml:space="preserve">v. </w:t>
      </w:r>
      <w:r w:rsidRPr="008C36D0">
        <w:rPr>
          <w:iCs/>
        </w:rPr>
        <w:t>Burwell, 724 F.3d 377 (3</w:t>
      </w:r>
      <w:r w:rsidRPr="008C36D0">
        <w:rPr>
          <w:iCs/>
          <w:vertAlign w:val="superscript"/>
        </w:rPr>
        <w:t>rd</w:t>
      </w:r>
      <w:r w:rsidRPr="008C36D0">
        <w:rPr>
          <w:iCs/>
        </w:rPr>
        <w:t xml:space="preserve"> Cir. 2013).</w:t>
      </w:r>
      <w:proofErr w:type="gramEnd"/>
      <w:r w:rsidRPr="008C36D0">
        <w:rPr>
          <w:iCs/>
        </w:rPr>
        <w:t xml:space="preserve">  The cases were consolidated upon appeal.  This paper uses “Hobby Lobby” to refer to the three corporations. </w:t>
      </w:r>
    </w:p>
  </w:footnote>
  <w:footnote w:id="22">
    <w:p w:rsidR="000018DD" w:rsidRPr="008555D8" w:rsidRDefault="000018DD">
      <w:pPr>
        <w:pStyle w:val="FootnoteText"/>
      </w:pPr>
      <w:r>
        <w:rPr>
          <w:rStyle w:val="FootnoteReference"/>
        </w:rPr>
        <w:footnoteRef/>
      </w:r>
      <w:r>
        <w:t xml:space="preserve"> </w:t>
      </w:r>
      <w:r>
        <w:tab/>
      </w:r>
      <w:r w:rsidRPr="007E2E48">
        <w:rPr>
          <w:rFonts w:cs="Century Schoolbook"/>
          <w:iCs/>
          <w:color w:val="000000"/>
        </w:rPr>
        <w:t xml:space="preserve">Trustees of Dartmouth College </w:t>
      </w:r>
      <w:r w:rsidRPr="007E2E48">
        <w:rPr>
          <w:rFonts w:cs="Century Schoolbook"/>
          <w:color w:val="000000"/>
        </w:rPr>
        <w:t xml:space="preserve">v. </w:t>
      </w:r>
      <w:r w:rsidRPr="007E2E48">
        <w:rPr>
          <w:rFonts w:cs="Century Schoolbook"/>
          <w:iCs/>
          <w:color w:val="000000"/>
        </w:rPr>
        <w:t>Woodward</w:t>
      </w:r>
      <w:r w:rsidRPr="008555D8">
        <w:rPr>
          <w:rFonts w:cs="Century Schoolbook"/>
          <w:color w:val="000000"/>
        </w:rPr>
        <w:t xml:space="preserve">, </w:t>
      </w:r>
      <w:proofErr w:type="gramStart"/>
      <w:r w:rsidRPr="008555D8">
        <w:rPr>
          <w:rFonts w:cs="Century Schoolbook"/>
          <w:color w:val="000000"/>
        </w:rPr>
        <w:t>4 Wheat</w:t>
      </w:r>
      <w:proofErr w:type="gramEnd"/>
      <w:r w:rsidRPr="008555D8">
        <w:rPr>
          <w:rFonts w:cs="Century Schoolbook"/>
          <w:color w:val="000000"/>
        </w:rPr>
        <w:t xml:space="preserve">. </w:t>
      </w:r>
      <w:proofErr w:type="gramStart"/>
      <w:r w:rsidRPr="008555D8">
        <w:rPr>
          <w:rFonts w:cs="Century Schoolbook"/>
          <w:color w:val="000000"/>
        </w:rPr>
        <w:t>518, 636 (1819).</w:t>
      </w:r>
      <w:proofErr w:type="gramEnd"/>
    </w:p>
  </w:footnote>
  <w:footnote w:id="23">
    <w:p w:rsidR="000018DD" w:rsidRDefault="000018DD">
      <w:pPr>
        <w:pStyle w:val="FootnoteText"/>
      </w:pPr>
      <w:r>
        <w:rPr>
          <w:rStyle w:val="FootnoteReference"/>
        </w:rPr>
        <w:footnoteRef/>
      </w:r>
      <w:r>
        <w:t xml:space="preserve"> </w:t>
      </w:r>
      <w:r>
        <w:tab/>
      </w:r>
      <w:r w:rsidRPr="007E2E48">
        <w:rPr>
          <w:rFonts w:cs="Century Schoolbook"/>
          <w:iCs/>
          <w:color w:val="000000"/>
        </w:rPr>
        <w:t xml:space="preserve">Citizens United </w:t>
      </w:r>
      <w:r w:rsidRPr="007E2E48">
        <w:rPr>
          <w:rFonts w:cs="Century Schoolbook"/>
          <w:color w:val="000000"/>
        </w:rPr>
        <w:t xml:space="preserve">v. </w:t>
      </w:r>
      <w:r w:rsidRPr="007E2E48">
        <w:rPr>
          <w:rFonts w:cs="Century Schoolbook"/>
          <w:iCs/>
          <w:color w:val="000000"/>
        </w:rPr>
        <w:t xml:space="preserve">Federal Election </w:t>
      </w:r>
      <w:proofErr w:type="spellStart"/>
      <w:r w:rsidRPr="007E2E48">
        <w:rPr>
          <w:rFonts w:cs="Century Schoolbook"/>
          <w:iCs/>
          <w:color w:val="000000"/>
        </w:rPr>
        <w:t>Comm’n</w:t>
      </w:r>
      <w:proofErr w:type="spellEnd"/>
      <w:r w:rsidRPr="008555D8">
        <w:rPr>
          <w:rFonts w:cs="Century Schoolbook"/>
          <w:color w:val="000000"/>
        </w:rPr>
        <w:t>, 558 U. S. 310, 466 (2010) (opinion concurring in part and dissenting in part).</w:t>
      </w:r>
    </w:p>
  </w:footnote>
  <w:footnote w:id="24">
    <w:p w:rsidR="000018DD" w:rsidRDefault="000018DD">
      <w:pPr>
        <w:pStyle w:val="FootnoteText"/>
        <w:rPr>
          <w:rStyle w:val="FootnotetextChar0"/>
        </w:rPr>
      </w:pPr>
      <w:r>
        <w:rPr>
          <w:rStyle w:val="FootnoteReference"/>
        </w:rPr>
        <w:footnoteRef/>
      </w:r>
      <w:r>
        <w:t xml:space="preserve"> </w:t>
      </w:r>
      <w:r>
        <w:tab/>
      </w:r>
      <w:r w:rsidRPr="00457419">
        <w:rPr>
          <w:rStyle w:val="FootnotetextChar0"/>
        </w:rPr>
        <w:t xml:space="preserve">Justice Alito writes, “A corporation is simply a form of organization used by human beings to achieve desired ends. </w:t>
      </w:r>
      <w:r>
        <w:rPr>
          <w:rStyle w:val="FootnotetextChar0"/>
        </w:rPr>
        <w:t xml:space="preserve">. . . </w:t>
      </w:r>
      <w:r w:rsidRPr="00457419">
        <w:rPr>
          <w:rStyle w:val="FootnotetextChar0"/>
        </w:rPr>
        <w:t>When rights, whether constitutional or statutory, are extended to corporations, the purpose is to protect</w:t>
      </w:r>
      <w:r>
        <w:rPr>
          <w:rStyle w:val="FootnotetextChar0"/>
        </w:rPr>
        <w:t xml:space="preserve"> </w:t>
      </w:r>
      <w:r w:rsidRPr="00457419">
        <w:rPr>
          <w:rStyle w:val="FootnotetextChar0"/>
        </w:rPr>
        <w:t xml:space="preserve">the rights of </w:t>
      </w:r>
      <w:r>
        <w:rPr>
          <w:rStyle w:val="FootnotetextChar0"/>
        </w:rPr>
        <w:t>[the corporation’s shareholders, officers, and employees</w:t>
      </w:r>
      <w:r w:rsidR="003A2A64">
        <w:rPr>
          <w:rStyle w:val="FootnotetextChar0"/>
        </w:rPr>
        <w:t>]</w:t>
      </w:r>
      <w:r w:rsidRPr="00457419">
        <w:rPr>
          <w:rStyle w:val="FootnotetextChar0"/>
        </w:rPr>
        <w:t>.”</w:t>
      </w:r>
      <w:r>
        <w:rPr>
          <w:rStyle w:val="FootnotetextChar0"/>
        </w:rPr>
        <w:t xml:space="preserve">  </w:t>
      </w:r>
      <w:proofErr w:type="gramStart"/>
      <w:r w:rsidRPr="008402D0">
        <w:rPr>
          <w:rStyle w:val="FootnotetextChar0"/>
          <w:i/>
        </w:rPr>
        <w:t>Id.</w:t>
      </w:r>
      <w:r w:rsidRPr="008402D0">
        <w:rPr>
          <w:rStyle w:val="FootnotetextChar0"/>
        </w:rPr>
        <w:t xml:space="preserve"> at </w:t>
      </w:r>
      <w:r>
        <w:rPr>
          <w:rStyle w:val="FootnotetextChar0"/>
        </w:rPr>
        <w:t>18.</w:t>
      </w:r>
      <w:proofErr w:type="gramEnd"/>
      <w:r>
        <w:rPr>
          <w:rStyle w:val="FootnotetextChar0"/>
        </w:rPr>
        <w:t xml:space="preserve">  </w:t>
      </w:r>
    </w:p>
    <w:p w:rsidR="000018DD" w:rsidRDefault="000018DD" w:rsidP="00021CD0">
      <w:pPr>
        <w:pStyle w:val="Footnotetext0"/>
        <w:rPr>
          <w:rFonts w:cs="Times New Roman"/>
          <w:szCs w:val="20"/>
        </w:rPr>
      </w:pPr>
      <w:r w:rsidRPr="00021CD0">
        <w:rPr>
          <w:rStyle w:val="FootnotetextChar0"/>
          <w:rFonts w:cs="Times New Roman"/>
        </w:rPr>
        <w:tab/>
        <w:t xml:space="preserve">In the section </w:t>
      </w:r>
      <w:r w:rsidR="003A2A64">
        <w:rPr>
          <w:rStyle w:val="FootnotetextChar0"/>
          <w:rFonts w:cs="Times New Roman"/>
        </w:rPr>
        <w:t xml:space="preserve">of his opinion </w:t>
      </w:r>
      <w:r w:rsidRPr="00021CD0">
        <w:rPr>
          <w:rStyle w:val="FootnotetextChar0"/>
          <w:rFonts w:cs="Times New Roman"/>
        </w:rPr>
        <w:t xml:space="preserve">dealing with the corporation’s </w:t>
      </w:r>
      <w:r>
        <w:rPr>
          <w:rStyle w:val="FootnotetextChar0"/>
          <w:rFonts w:cs="Times New Roman"/>
        </w:rPr>
        <w:t>exercise of religion</w:t>
      </w:r>
      <w:r w:rsidRPr="00021CD0">
        <w:rPr>
          <w:rStyle w:val="FootnotetextChar0"/>
          <w:rFonts w:cs="Times New Roman"/>
        </w:rPr>
        <w:t xml:space="preserve">, Justice Alito carefully refers to Hobby Lobby’s beliefs.  Elsewhere, he often refers to the owners’ beliefs as if their beliefs are interchangeable with those of the corporation.  </w:t>
      </w:r>
      <w:r w:rsidRPr="00021CD0">
        <w:rPr>
          <w:rStyle w:val="FootnotetextChar0"/>
          <w:rFonts w:cs="Times New Roman"/>
          <w:i/>
        </w:rPr>
        <w:t>See e.g</w:t>
      </w:r>
      <w:r w:rsidRPr="00021CD0">
        <w:rPr>
          <w:rStyle w:val="FootnotetextChar0"/>
          <w:rFonts w:cs="Times New Roman"/>
        </w:rPr>
        <w:t xml:space="preserve">., </w:t>
      </w:r>
      <w:r>
        <w:rPr>
          <w:rStyle w:val="FootnotetextChar0"/>
          <w:rFonts w:cs="Times New Roman"/>
        </w:rPr>
        <w:t>“</w:t>
      </w:r>
      <w:r w:rsidRPr="00021CD0">
        <w:rPr>
          <w:rFonts w:cs="Times New Roman"/>
          <w:color w:val="000000"/>
          <w:szCs w:val="20"/>
        </w:rPr>
        <w:t>The owners of the businesses have religious objections</w:t>
      </w:r>
      <w:r>
        <w:rPr>
          <w:rFonts w:cs="Times New Roman"/>
          <w:color w:val="000000"/>
          <w:szCs w:val="20"/>
        </w:rPr>
        <w:t>”</w:t>
      </w:r>
      <w:r w:rsidRPr="00021CD0">
        <w:rPr>
          <w:rFonts w:cs="Times New Roman"/>
          <w:color w:val="000000"/>
          <w:szCs w:val="20"/>
        </w:rPr>
        <w:t xml:space="preserve"> </w:t>
      </w:r>
      <w:r w:rsidR="00A3040B">
        <w:rPr>
          <w:rFonts w:cs="Times New Roman"/>
          <w:i/>
          <w:color w:val="000000"/>
          <w:szCs w:val="20"/>
        </w:rPr>
        <w:t>i</w:t>
      </w:r>
      <w:r w:rsidRPr="008402D0">
        <w:rPr>
          <w:rFonts w:cs="Times New Roman"/>
          <w:i/>
          <w:color w:val="000000"/>
          <w:szCs w:val="20"/>
        </w:rPr>
        <w:t>d.</w:t>
      </w:r>
      <w:r w:rsidRPr="008402D0">
        <w:rPr>
          <w:rFonts w:cs="Times New Roman"/>
          <w:color w:val="000000"/>
          <w:szCs w:val="20"/>
        </w:rPr>
        <w:t xml:space="preserve"> </w:t>
      </w:r>
      <w:proofErr w:type="gramStart"/>
      <w:r w:rsidRPr="008402D0">
        <w:rPr>
          <w:rFonts w:cs="Times New Roman"/>
          <w:color w:val="000000"/>
          <w:szCs w:val="20"/>
        </w:rPr>
        <w:t>at</w:t>
      </w:r>
      <w:proofErr w:type="gramEnd"/>
      <w:r w:rsidRPr="008402D0">
        <w:rPr>
          <w:rFonts w:cs="Times New Roman"/>
          <w:color w:val="000000"/>
          <w:szCs w:val="20"/>
        </w:rPr>
        <w:t xml:space="preserve"> </w:t>
      </w:r>
      <w:r w:rsidRPr="00021CD0">
        <w:rPr>
          <w:rFonts w:cs="Times New Roman"/>
          <w:color w:val="000000"/>
          <w:szCs w:val="20"/>
        </w:rPr>
        <w:t>2</w:t>
      </w:r>
      <w:r>
        <w:rPr>
          <w:rFonts w:cs="Times New Roman"/>
          <w:color w:val="000000"/>
          <w:szCs w:val="20"/>
        </w:rPr>
        <w:t>;</w:t>
      </w:r>
      <w:r w:rsidRPr="00021CD0">
        <w:rPr>
          <w:rFonts w:cs="Times New Roman"/>
          <w:color w:val="000000"/>
          <w:szCs w:val="20"/>
        </w:rPr>
        <w:t xml:space="preserve"> </w:t>
      </w:r>
      <w:r w:rsidRPr="00021CD0">
        <w:rPr>
          <w:rFonts w:cs="Times New Roman"/>
          <w:szCs w:val="20"/>
        </w:rPr>
        <w:t>“</w:t>
      </w:r>
      <w:r w:rsidR="00116294">
        <w:rPr>
          <w:rFonts w:cs="Times New Roman"/>
          <w:szCs w:val="20"/>
        </w:rPr>
        <w:t xml:space="preserve">The </w:t>
      </w:r>
      <w:r w:rsidRPr="00021CD0">
        <w:rPr>
          <w:rFonts w:cs="Times New Roman"/>
          <w:szCs w:val="20"/>
        </w:rPr>
        <w:t xml:space="preserve">HHS has provided no reason why the same system cannot be made available when the owners of for-profit corporations have similar religious objections” </w:t>
      </w:r>
      <w:r w:rsidR="00A3040B">
        <w:rPr>
          <w:rFonts w:cs="Times New Roman"/>
          <w:i/>
          <w:color w:val="000000"/>
          <w:szCs w:val="20"/>
        </w:rPr>
        <w:t>i</w:t>
      </w:r>
      <w:r w:rsidRPr="008402D0">
        <w:rPr>
          <w:rFonts w:cs="Times New Roman"/>
          <w:i/>
          <w:color w:val="000000"/>
          <w:szCs w:val="20"/>
        </w:rPr>
        <w:t>d.</w:t>
      </w:r>
      <w:r w:rsidRPr="008402D0">
        <w:rPr>
          <w:rFonts w:cs="Times New Roman"/>
          <w:color w:val="000000"/>
          <w:szCs w:val="20"/>
        </w:rPr>
        <w:t xml:space="preserve"> </w:t>
      </w:r>
      <w:proofErr w:type="gramStart"/>
      <w:r w:rsidRPr="008402D0">
        <w:rPr>
          <w:rFonts w:cs="Times New Roman"/>
          <w:color w:val="000000"/>
          <w:szCs w:val="20"/>
        </w:rPr>
        <w:t>at</w:t>
      </w:r>
      <w:proofErr w:type="gramEnd"/>
      <w:r w:rsidRPr="008402D0">
        <w:rPr>
          <w:rFonts w:cs="Times New Roman"/>
          <w:color w:val="000000"/>
          <w:szCs w:val="20"/>
        </w:rPr>
        <w:t xml:space="preserve"> </w:t>
      </w:r>
      <w:r w:rsidRPr="00021CD0">
        <w:rPr>
          <w:rFonts w:cs="Times New Roman"/>
          <w:szCs w:val="20"/>
        </w:rPr>
        <w:t>3</w:t>
      </w:r>
      <w:r>
        <w:rPr>
          <w:rFonts w:cs="Times New Roman"/>
          <w:szCs w:val="20"/>
        </w:rPr>
        <w:t>; and “[</w:t>
      </w:r>
      <w:r w:rsidR="00116294">
        <w:rPr>
          <w:rFonts w:cs="Times New Roman"/>
          <w:szCs w:val="20"/>
        </w:rPr>
        <w:t xml:space="preserve">The </w:t>
      </w:r>
      <w:r>
        <w:rPr>
          <w:rFonts w:cs="Times New Roman"/>
          <w:szCs w:val="20"/>
        </w:rPr>
        <w:t xml:space="preserve">HHS] </w:t>
      </w:r>
      <w:r w:rsidRPr="00021CD0">
        <w:rPr>
          <w:rFonts w:eastAsia="Times New Roman" w:cs="Times New Roman"/>
          <w:color w:val="000000"/>
          <w:szCs w:val="20"/>
        </w:rPr>
        <w:t xml:space="preserve">requires the </w:t>
      </w:r>
      <w:proofErr w:type="spellStart"/>
      <w:r w:rsidRPr="00021CD0">
        <w:rPr>
          <w:rFonts w:eastAsia="Times New Roman" w:cs="Times New Roman"/>
          <w:color w:val="000000"/>
          <w:szCs w:val="20"/>
        </w:rPr>
        <w:t>Hahns</w:t>
      </w:r>
      <w:proofErr w:type="spellEnd"/>
      <w:r w:rsidRPr="00021CD0">
        <w:rPr>
          <w:rFonts w:eastAsia="Times New Roman" w:cs="Times New Roman"/>
          <w:color w:val="000000"/>
          <w:szCs w:val="20"/>
        </w:rPr>
        <w:t xml:space="preserve"> and Greens to engage in conduct that seriously violates their sincere religious belief that life begins at conception</w:t>
      </w:r>
      <w:r>
        <w:rPr>
          <w:rFonts w:eastAsia="Times New Roman" w:cs="Times New Roman"/>
          <w:color w:val="000000"/>
          <w:szCs w:val="20"/>
        </w:rPr>
        <w:t>”</w:t>
      </w:r>
      <w:r w:rsidRPr="00021CD0">
        <w:rPr>
          <w:rFonts w:eastAsia="Times New Roman" w:cs="Times New Roman"/>
          <w:color w:val="000000"/>
          <w:szCs w:val="20"/>
        </w:rPr>
        <w:t xml:space="preserve"> </w:t>
      </w:r>
      <w:r w:rsidR="00FF1C5F">
        <w:rPr>
          <w:rFonts w:cs="Times New Roman"/>
          <w:i/>
          <w:color w:val="000000"/>
          <w:szCs w:val="20"/>
        </w:rPr>
        <w:t>i</w:t>
      </w:r>
      <w:r w:rsidRPr="008402D0">
        <w:rPr>
          <w:rFonts w:cs="Times New Roman"/>
          <w:i/>
          <w:color w:val="000000"/>
          <w:szCs w:val="20"/>
        </w:rPr>
        <w:t>d.</w:t>
      </w:r>
      <w:r w:rsidR="00B06559">
        <w:rPr>
          <w:rFonts w:cs="Times New Roman"/>
          <w:i/>
          <w:color w:val="000000"/>
          <w:szCs w:val="20"/>
        </w:rPr>
        <w:t> </w:t>
      </w:r>
      <w:proofErr w:type="gramStart"/>
      <w:r w:rsidRPr="008402D0">
        <w:rPr>
          <w:rFonts w:cs="Times New Roman"/>
          <w:color w:val="000000"/>
          <w:szCs w:val="20"/>
        </w:rPr>
        <w:t>at</w:t>
      </w:r>
      <w:proofErr w:type="gramEnd"/>
      <w:r w:rsidRPr="008402D0">
        <w:rPr>
          <w:rFonts w:cs="Times New Roman"/>
          <w:color w:val="000000"/>
          <w:szCs w:val="20"/>
        </w:rPr>
        <w:t xml:space="preserve"> </w:t>
      </w:r>
      <w:r w:rsidRPr="00021CD0">
        <w:rPr>
          <w:rFonts w:eastAsia="Times New Roman" w:cs="Times New Roman"/>
          <w:color w:val="000000"/>
          <w:szCs w:val="20"/>
        </w:rPr>
        <w:t>4</w:t>
      </w:r>
      <w:r>
        <w:rPr>
          <w:rFonts w:eastAsia="Times New Roman" w:cs="Times New Roman"/>
          <w:color w:val="000000"/>
          <w:szCs w:val="20"/>
        </w:rPr>
        <w:t>.</w:t>
      </w:r>
      <w:r w:rsidRPr="00021CD0">
        <w:rPr>
          <w:rFonts w:cs="Times New Roman"/>
          <w:szCs w:val="20"/>
        </w:rPr>
        <w:t xml:space="preserve"> </w:t>
      </w:r>
    </w:p>
    <w:p w:rsidR="000018DD" w:rsidRPr="00021CD0" w:rsidRDefault="000018DD" w:rsidP="00021CD0">
      <w:pPr>
        <w:pStyle w:val="Footnotetext0"/>
        <w:rPr>
          <w:rFonts w:cs="Times New Roman"/>
          <w:szCs w:val="20"/>
        </w:rPr>
      </w:pPr>
      <w:r>
        <w:rPr>
          <w:rFonts w:cs="Times New Roman"/>
          <w:szCs w:val="20"/>
        </w:rPr>
        <w:tab/>
      </w:r>
      <w:r w:rsidRPr="00105B8D">
        <w:rPr>
          <w:rFonts w:cs="Times New Roman"/>
          <w:szCs w:val="20"/>
        </w:rPr>
        <w:t xml:space="preserve">Justice Kennedy’s brief concurrence is more sweeping.  </w:t>
      </w:r>
      <w:r>
        <w:rPr>
          <w:rFonts w:eastAsia="Times New Roman"/>
          <w:szCs w:val="20"/>
        </w:rPr>
        <w:t>H</w:t>
      </w:r>
      <w:r w:rsidRPr="00105B8D">
        <w:rPr>
          <w:rFonts w:eastAsia="Times New Roman"/>
          <w:szCs w:val="20"/>
        </w:rPr>
        <w:t xml:space="preserve">e starts by saying that “all persons have the right to believe or strive to believe in a divine creator and a divine law” </w:t>
      </w:r>
      <w:r w:rsidR="006E0B32">
        <w:rPr>
          <w:rFonts w:cs="Times New Roman"/>
          <w:i/>
          <w:color w:val="000000"/>
          <w:szCs w:val="20"/>
        </w:rPr>
        <w:t>i</w:t>
      </w:r>
      <w:r w:rsidRPr="008402D0">
        <w:rPr>
          <w:rFonts w:cs="Times New Roman"/>
          <w:i/>
          <w:color w:val="000000"/>
          <w:szCs w:val="20"/>
        </w:rPr>
        <w:t>d.</w:t>
      </w:r>
      <w:r w:rsidRPr="008402D0">
        <w:rPr>
          <w:rFonts w:cs="Times New Roman"/>
          <w:color w:val="000000"/>
          <w:szCs w:val="20"/>
        </w:rPr>
        <w:t xml:space="preserve"> </w:t>
      </w:r>
      <w:proofErr w:type="gramStart"/>
      <w:r w:rsidRPr="008402D0">
        <w:rPr>
          <w:rFonts w:cs="Times New Roman"/>
          <w:color w:val="000000"/>
          <w:szCs w:val="20"/>
        </w:rPr>
        <w:t>at</w:t>
      </w:r>
      <w:proofErr w:type="gramEnd"/>
      <w:r w:rsidRPr="008402D0">
        <w:rPr>
          <w:rFonts w:cs="Times New Roman"/>
          <w:color w:val="000000"/>
          <w:szCs w:val="20"/>
        </w:rPr>
        <w:t xml:space="preserve"> </w:t>
      </w:r>
      <w:r w:rsidRPr="00105B8D">
        <w:rPr>
          <w:rFonts w:eastAsia="Times New Roman"/>
          <w:szCs w:val="20"/>
        </w:rPr>
        <w:t>1</w:t>
      </w:r>
      <w:r>
        <w:rPr>
          <w:rFonts w:eastAsia="Times New Roman"/>
          <w:szCs w:val="20"/>
        </w:rPr>
        <w:t>; and</w:t>
      </w:r>
      <w:r w:rsidRPr="00105B8D">
        <w:rPr>
          <w:rFonts w:eastAsia="Times New Roman"/>
          <w:szCs w:val="20"/>
        </w:rPr>
        <w:t xml:space="preserve"> “</w:t>
      </w:r>
      <w:r>
        <w:rPr>
          <w:rFonts w:eastAsia="Times New Roman"/>
          <w:szCs w:val="20"/>
        </w:rPr>
        <w:t>[</w:t>
      </w:r>
      <w:r>
        <w:rPr>
          <w:rFonts w:cs="Century Schoolbook"/>
          <w:color w:val="000000"/>
          <w:szCs w:val="20"/>
        </w:rPr>
        <w:t>P]</w:t>
      </w:r>
      <w:proofErr w:type="spellStart"/>
      <w:r w:rsidRPr="00105B8D">
        <w:rPr>
          <w:rFonts w:cs="Century Schoolbook"/>
          <w:color w:val="000000"/>
          <w:szCs w:val="20"/>
        </w:rPr>
        <w:t>laintiffs</w:t>
      </w:r>
      <w:proofErr w:type="spellEnd"/>
      <w:r w:rsidRPr="00105B8D">
        <w:rPr>
          <w:rFonts w:cs="Century Schoolbook"/>
          <w:color w:val="000000"/>
          <w:szCs w:val="20"/>
        </w:rPr>
        <w:t xml:space="preserve"> deem it necessary to exercise</w:t>
      </w:r>
      <w:r>
        <w:rPr>
          <w:rFonts w:cs="Century Schoolbook"/>
          <w:color w:val="000000"/>
          <w:szCs w:val="20"/>
        </w:rPr>
        <w:t xml:space="preserve"> </w:t>
      </w:r>
      <w:r w:rsidRPr="00105B8D">
        <w:rPr>
          <w:rFonts w:cs="Century Schoolbook"/>
          <w:color w:val="000000"/>
          <w:szCs w:val="20"/>
        </w:rPr>
        <w:t>their religious beliefs within the context of their own</w:t>
      </w:r>
      <w:r>
        <w:rPr>
          <w:rFonts w:cs="Century Schoolbook"/>
          <w:color w:val="000000"/>
          <w:szCs w:val="20"/>
        </w:rPr>
        <w:t xml:space="preserve"> </w:t>
      </w:r>
      <w:r w:rsidRPr="00105B8D">
        <w:rPr>
          <w:rFonts w:cs="Century Schoolbook"/>
          <w:color w:val="000000"/>
          <w:szCs w:val="20"/>
        </w:rPr>
        <w:t>closely held, for-profit corporations</w:t>
      </w:r>
      <w:r>
        <w:rPr>
          <w:rFonts w:cs="Century Schoolbook"/>
          <w:color w:val="000000"/>
          <w:szCs w:val="20"/>
        </w:rPr>
        <w:t xml:space="preserve">” </w:t>
      </w:r>
      <w:r w:rsidR="00AE46FA">
        <w:rPr>
          <w:rFonts w:cs="Times New Roman"/>
          <w:i/>
          <w:color w:val="000000"/>
          <w:szCs w:val="20"/>
        </w:rPr>
        <w:t>i</w:t>
      </w:r>
      <w:r w:rsidRPr="008402D0">
        <w:rPr>
          <w:rFonts w:cs="Times New Roman"/>
          <w:i/>
          <w:color w:val="000000"/>
          <w:szCs w:val="20"/>
        </w:rPr>
        <w:t>d.</w:t>
      </w:r>
      <w:r w:rsidRPr="008402D0">
        <w:rPr>
          <w:rFonts w:cs="Times New Roman"/>
          <w:color w:val="000000"/>
          <w:szCs w:val="20"/>
        </w:rPr>
        <w:t xml:space="preserve"> at</w:t>
      </w:r>
      <w:r>
        <w:rPr>
          <w:rFonts w:cs="Century Schoolbook"/>
          <w:color w:val="000000"/>
          <w:szCs w:val="20"/>
        </w:rPr>
        <w:t xml:space="preserve"> 2 (ignoring that plaintiffs are the corporations, not their owners). Justice Kennedy makes no attempt to </w:t>
      </w:r>
      <w:r>
        <w:rPr>
          <w:rFonts w:eastAsia="Times New Roman"/>
          <w:szCs w:val="24"/>
        </w:rPr>
        <w:t xml:space="preserve">distinguish between the beliefs of the owners and those of the entity. </w:t>
      </w:r>
    </w:p>
  </w:footnote>
  <w:footnote w:id="25">
    <w:p w:rsidR="000018DD" w:rsidRPr="00337520" w:rsidRDefault="000018DD" w:rsidP="00A00B9C">
      <w:pPr>
        <w:pStyle w:val="Footnotetext0"/>
        <w:rPr>
          <w:szCs w:val="20"/>
        </w:rPr>
      </w:pPr>
      <w:r>
        <w:rPr>
          <w:rStyle w:val="FootnoteReference"/>
        </w:rPr>
        <w:footnoteRef/>
      </w:r>
      <w:r>
        <w:t xml:space="preserve"> </w:t>
      </w:r>
      <w:r>
        <w:tab/>
      </w:r>
      <w:r w:rsidRPr="00257D4D">
        <w:rPr>
          <w:i/>
          <w:szCs w:val="20"/>
        </w:rPr>
        <w:t>Amicus Curiae Brief of Corporate and Criminal Law Professors in Support of Petitioners</w:t>
      </w:r>
      <w:r w:rsidRPr="00337520">
        <w:rPr>
          <w:szCs w:val="20"/>
        </w:rPr>
        <w:t xml:space="preserve">, Sebelius v. Hobby Lobby Stores, No. 13-354 </w:t>
      </w:r>
      <w:r w:rsidRPr="00257D4D">
        <w:rPr>
          <w:i/>
          <w:szCs w:val="20"/>
        </w:rPr>
        <w:t>and</w:t>
      </w:r>
      <w:r w:rsidRPr="00337520">
        <w:rPr>
          <w:szCs w:val="20"/>
        </w:rPr>
        <w:t xml:space="preserve"> Conestoga Wood Specialties Corp. v. Sebelius, No. 13-356 (U.S. Jan. 28, 2014), 2014 WL 333889.</w:t>
      </w:r>
    </w:p>
  </w:footnote>
  <w:footnote w:id="26">
    <w:p w:rsidR="000018DD" w:rsidRDefault="000018DD">
      <w:pPr>
        <w:pStyle w:val="FootnoteText"/>
      </w:pPr>
      <w:r>
        <w:rPr>
          <w:rStyle w:val="FootnoteReference"/>
        </w:rPr>
        <w:footnoteRef/>
      </w:r>
      <w:r>
        <w:t xml:space="preserve"> </w:t>
      </w:r>
      <w:r>
        <w:tab/>
      </w:r>
      <w:proofErr w:type="gramStart"/>
      <w:r w:rsidRPr="00F154F4">
        <w:rPr>
          <w:i/>
        </w:rPr>
        <w:t>Id</w:t>
      </w:r>
      <w:r>
        <w:t>. at 2.</w:t>
      </w:r>
      <w:proofErr w:type="gramEnd"/>
    </w:p>
  </w:footnote>
  <w:footnote w:id="27">
    <w:p w:rsidR="000018DD" w:rsidRDefault="000018DD">
      <w:pPr>
        <w:pStyle w:val="FootnoteText"/>
      </w:pPr>
      <w:r>
        <w:rPr>
          <w:rStyle w:val="FootnoteReference"/>
        </w:rPr>
        <w:footnoteRef/>
      </w:r>
      <w:r>
        <w:t xml:space="preserve"> </w:t>
      </w:r>
      <w:r>
        <w:tab/>
      </w:r>
      <w:r w:rsidRPr="000948D0">
        <w:rPr>
          <w:i/>
        </w:rPr>
        <w:t>Id</w:t>
      </w:r>
      <w:r>
        <w:t xml:space="preserve">. </w:t>
      </w:r>
    </w:p>
  </w:footnote>
  <w:footnote w:id="28">
    <w:p w:rsidR="000018DD" w:rsidRPr="000948D0" w:rsidRDefault="000018DD" w:rsidP="00F546BF">
      <w:pPr>
        <w:pStyle w:val="Footnotetext0"/>
        <w:rPr>
          <w:szCs w:val="20"/>
        </w:rPr>
      </w:pPr>
      <w:r>
        <w:rPr>
          <w:rStyle w:val="FootnoteReference"/>
        </w:rPr>
        <w:footnoteRef/>
      </w:r>
      <w:r>
        <w:t xml:space="preserve"> </w:t>
      </w:r>
      <w:r>
        <w:tab/>
      </w:r>
      <w:r w:rsidRPr="000948D0">
        <w:rPr>
          <w:szCs w:val="20"/>
        </w:rPr>
        <w:t xml:space="preserve">Stephen M. Bainbridge, </w:t>
      </w:r>
      <w:r w:rsidRPr="000948D0">
        <w:rPr>
          <w:i/>
          <w:szCs w:val="20"/>
        </w:rPr>
        <w:t>Using Reverse Veil Piercing to Vindicate the Free Exercise Rights of Incorporated Employers</w:t>
      </w:r>
      <w:r w:rsidRPr="000948D0">
        <w:rPr>
          <w:szCs w:val="20"/>
        </w:rPr>
        <w:t xml:space="preserve">, 16 </w:t>
      </w:r>
      <w:r w:rsidRPr="000948D0">
        <w:rPr>
          <w:smallCaps/>
          <w:szCs w:val="20"/>
        </w:rPr>
        <w:t>Green Bag</w:t>
      </w:r>
      <w:r w:rsidRPr="000948D0">
        <w:rPr>
          <w:szCs w:val="20"/>
        </w:rPr>
        <w:t xml:space="preserve"> 2d 235 (2013).  </w:t>
      </w:r>
    </w:p>
  </w:footnote>
  <w:footnote w:id="29">
    <w:p w:rsidR="000018DD" w:rsidRDefault="000018DD">
      <w:pPr>
        <w:pStyle w:val="FootnoteText"/>
      </w:pPr>
      <w:r>
        <w:rPr>
          <w:rStyle w:val="FootnoteReference"/>
        </w:rPr>
        <w:footnoteRef/>
      </w:r>
      <w:r>
        <w:t xml:space="preserve"> </w:t>
      </w:r>
      <w:r>
        <w:tab/>
      </w:r>
      <w:r>
        <w:rPr>
          <w:rFonts w:eastAsia="Times New Roman"/>
          <w:szCs w:val="24"/>
        </w:rPr>
        <w:t xml:space="preserve">Bainbridge further elaborated his views – and disputed arguments in the </w:t>
      </w:r>
      <w:r w:rsidRPr="00B345CF">
        <w:rPr>
          <w:rFonts w:eastAsia="Times New Roman"/>
          <w:i/>
          <w:szCs w:val="24"/>
        </w:rPr>
        <w:t>amicus</w:t>
      </w:r>
      <w:r>
        <w:rPr>
          <w:rFonts w:eastAsia="Times New Roman"/>
          <w:szCs w:val="24"/>
        </w:rPr>
        <w:t xml:space="preserve"> brief – in </w:t>
      </w:r>
      <w:r w:rsidRPr="00F546BF">
        <w:rPr>
          <w:rFonts w:eastAsia="Times New Roman"/>
          <w:i/>
          <w:szCs w:val="24"/>
        </w:rPr>
        <w:t xml:space="preserve">A Critique of the Corporate Law Professors’ Amicus Brief in </w:t>
      </w:r>
      <w:r w:rsidRPr="00F546BF">
        <w:rPr>
          <w:rFonts w:eastAsia="Times New Roman"/>
          <w:szCs w:val="24"/>
        </w:rPr>
        <w:t>Hobby Lobby</w:t>
      </w:r>
      <w:r w:rsidRPr="00F546BF">
        <w:rPr>
          <w:rFonts w:eastAsia="Times New Roman"/>
          <w:i/>
          <w:szCs w:val="24"/>
        </w:rPr>
        <w:t xml:space="preserve"> and </w:t>
      </w:r>
      <w:r w:rsidRPr="00F546BF">
        <w:rPr>
          <w:rFonts w:eastAsia="Times New Roman"/>
          <w:szCs w:val="24"/>
        </w:rPr>
        <w:t>Conestoga Wood</w:t>
      </w:r>
      <w:r>
        <w:rPr>
          <w:rFonts w:eastAsia="Times New Roman"/>
          <w:szCs w:val="24"/>
        </w:rPr>
        <w:t xml:space="preserve">, 100 </w:t>
      </w:r>
      <w:proofErr w:type="spellStart"/>
      <w:r w:rsidRPr="00F546BF">
        <w:rPr>
          <w:rFonts w:eastAsia="Times New Roman"/>
          <w:smallCaps/>
          <w:szCs w:val="24"/>
        </w:rPr>
        <w:t>Virg.L.Rev.Online</w:t>
      </w:r>
      <w:proofErr w:type="spellEnd"/>
      <w:r>
        <w:rPr>
          <w:rFonts w:eastAsia="Times New Roman"/>
          <w:szCs w:val="24"/>
        </w:rPr>
        <w:t xml:space="preserve"> 1 (March 2014).</w:t>
      </w:r>
    </w:p>
  </w:footnote>
  <w:footnote w:id="30">
    <w:p w:rsidR="000018DD" w:rsidRPr="007E2E48" w:rsidRDefault="000018DD" w:rsidP="007E2E48">
      <w:pPr>
        <w:pStyle w:val="FootnoteText"/>
        <w:rPr>
          <w:rFonts w:cs="Times New Roman"/>
        </w:rPr>
      </w:pPr>
      <w:r>
        <w:rPr>
          <w:rStyle w:val="FootnoteReference"/>
        </w:rPr>
        <w:footnoteRef/>
      </w:r>
      <w:r>
        <w:t xml:space="preserve"> </w:t>
      </w:r>
      <w:r>
        <w:tab/>
        <w:t xml:space="preserve">The opinion did not define “closely held” corporation and there is no commonly accepted definition for the term.  The agencies that must implement the Court’s opinion have recently proposed rules asking for public comment.  Depts. of Treasury, Labor and Health and Human Services have jointly proposed rules open for comment.  </w:t>
      </w:r>
      <w:r w:rsidRPr="00F75206">
        <w:rPr>
          <w:i/>
        </w:rPr>
        <w:t>See</w:t>
      </w:r>
      <w:r>
        <w:t xml:space="preserve"> Depts. of Treasury (RIN 1545-BM39), Labor (RIN 1210-AB67)</w:t>
      </w:r>
      <w:r w:rsidRPr="007E2E48">
        <w:t xml:space="preserve"> and Health and Human Services (RIN 0938-AS50), Coverage of Certain Preventive Services under the Affordable Care Act (published Aug. 27, 2014; comments ended Oct. 26, 2014).  Under the</w:t>
      </w:r>
      <w:r w:rsidRPr="007E2E48">
        <w:rPr>
          <w:rFonts w:cs="Times New Roman"/>
        </w:rPr>
        <w:t xml:space="preserve"> proposed rules, a for-profit corporation would be eligible for exemption if:  (a)</w:t>
      </w:r>
      <w:r w:rsidRPr="007E2E48">
        <w:rPr>
          <w:rStyle w:val="apple-converted-space"/>
          <w:rFonts w:cs="Times New Roman"/>
          <w:shd w:val="clear" w:color="auto" w:fill="FFFFFF"/>
        </w:rPr>
        <w:t> none of its stock was publicly traded</w:t>
      </w:r>
      <w:r w:rsidRPr="007E2E48">
        <w:rPr>
          <w:rFonts w:cs="Times New Roman"/>
          <w:shd w:val="clear" w:color="auto" w:fill="FFFFFF"/>
        </w:rPr>
        <w:t>, and (as alternatives</w:t>
      </w:r>
      <w:r>
        <w:rPr>
          <w:rFonts w:cs="Times New Roman"/>
          <w:shd w:val="clear" w:color="auto" w:fill="FFFFFF"/>
        </w:rPr>
        <w:t xml:space="preserve">, </w:t>
      </w:r>
      <w:r w:rsidRPr="007E2E48">
        <w:rPr>
          <w:rFonts w:cs="Times New Roman"/>
          <w:shd w:val="clear" w:color="auto" w:fill="FFFFFF"/>
        </w:rPr>
        <w:t>b-1) specifying a maximum number of owners that it could have, or (b-2) specifying a minimum percentage of a total number of owners who had actual ownership concentrated among them.   The public was invited to make suggestions on how a for-profit firm could be required to prove that its owners have established that they do have religious objections to the mandate.  If a corporation’s governing structure takes action, in keeping with state law governing corporations, to claim a religious exemption, and advises the government of its objection (by official form or by a simple letter), that would be enough to put the government on notice of the objection, and it would then lead the government to take steps to take over providing access to the services independently of the owners and at no cost to them or to the workers.</w:t>
      </w:r>
    </w:p>
  </w:footnote>
  <w:footnote w:id="31">
    <w:p w:rsidR="000018DD" w:rsidRDefault="000018DD">
      <w:pPr>
        <w:pStyle w:val="FootnoteText"/>
      </w:pPr>
      <w:r>
        <w:rPr>
          <w:rStyle w:val="FootnoteReference"/>
        </w:rPr>
        <w:footnoteRef/>
      </w:r>
      <w:r>
        <w:t xml:space="preserve"> </w:t>
      </w:r>
      <w:r>
        <w:tab/>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sidRPr="0005031E">
        <w:rPr>
          <w:rFonts w:cs="Times New Roman"/>
        </w:rPr>
        <w:t xml:space="preserve"> </w:t>
      </w:r>
      <w:proofErr w:type="gramStart"/>
      <w:r>
        <w:rPr>
          <w:rFonts w:cs="Times New Roman"/>
        </w:rPr>
        <w:t>18</w:t>
      </w:r>
      <w:r w:rsidRPr="0005031E">
        <w:rPr>
          <w:rFonts w:cs="Times New Roman"/>
        </w:rPr>
        <w:t>, §</w:t>
      </w:r>
      <w:r>
        <w:rPr>
          <w:rFonts w:cs="Times New Roman"/>
        </w:rPr>
        <w:t>1126.</w:t>
      </w:r>
      <w:proofErr w:type="gramEnd"/>
      <w:r>
        <w:rPr>
          <w:rFonts w:cs="Times New Roman"/>
        </w:rPr>
        <w:t xml:space="preserve">  As</w:t>
      </w:r>
      <w:r>
        <w:t xml:space="preserve"> amended, Section 1126 reads:</w:t>
      </w:r>
    </w:p>
    <w:p w:rsidR="000018DD" w:rsidRDefault="000018DD" w:rsidP="003D3088">
      <w:pPr>
        <w:pStyle w:val="Footnotetext0"/>
        <w:ind w:left="1080" w:right="720"/>
      </w:pPr>
      <w:r>
        <w:t>“A.</w:t>
      </w:r>
      <w:r>
        <w:tab/>
        <w:t>In any derivative suit instituted by a shareholder of a corporation, it shall be averred in the petition that the plaintiff was a shareholder of the corporation at the time of the transaction of which the plaintiff complains or that the plaintiff's stock thereafter devolved upon him or her by operation of law.</w:t>
      </w:r>
    </w:p>
    <w:p w:rsidR="000018DD" w:rsidRDefault="000018DD" w:rsidP="003D3088">
      <w:pPr>
        <w:pStyle w:val="Footnotetext0"/>
        <w:ind w:left="1080" w:right="720"/>
      </w:pPr>
      <w:r>
        <w:t>B.</w:t>
      </w:r>
      <w:r>
        <w:tab/>
        <w:t>If a derivative action confers a substantial benefit upon the corporation as a result of a compromise or settlement of an action or claim, the court may award the plaintiff reasonable costs, including reasonable attorney fees, and shall direct the plaintiff to remit to the corporation the remainder of all proceeds received.</w:t>
      </w:r>
    </w:p>
    <w:p w:rsidR="000018DD" w:rsidRDefault="000018DD" w:rsidP="003D3088">
      <w:pPr>
        <w:pStyle w:val="Footnotetext0"/>
        <w:ind w:left="1080" w:right="720"/>
      </w:pPr>
      <w:r>
        <w:t>C.</w:t>
      </w:r>
      <w:r>
        <w:tab/>
        <w:t xml:space="preserve">In any derivative action instituted by a shareholder of a domestic or foreign corporation, the court having jurisdiction, upon final judgment, shall require the </w:t>
      </w:r>
      <w:proofErr w:type="spellStart"/>
      <w:r>
        <w:t>nonprevailing</w:t>
      </w:r>
      <w:proofErr w:type="spellEnd"/>
      <w:r>
        <w:t xml:space="preserve"> party or parties to pay the prevailing party or parties the reasonable expenses, including attorney fees, taxable as costs, incurred as a result of such action.”</w:t>
      </w:r>
    </w:p>
    <w:p w:rsidR="000018DD" w:rsidRDefault="000018DD" w:rsidP="00AD72C8">
      <w:pPr>
        <w:pStyle w:val="Footnotetext0"/>
        <w:ind w:left="1080"/>
      </w:pPr>
      <w:r>
        <w:t xml:space="preserve">Subsections B and C were added by the amendment.  Subsection A was unchanged. </w:t>
      </w:r>
    </w:p>
  </w:footnote>
  <w:footnote w:id="32">
    <w:p w:rsidR="000018DD" w:rsidRPr="007B0C25" w:rsidRDefault="000018DD" w:rsidP="00AD72C8">
      <w:pPr>
        <w:pStyle w:val="FootnoteText"/>
        <w:rPr>
          <w:rStyle w:val="FootnotetextChar0"/>
        </w:rPr>
      </w:pPr>
      <w:r>
        <w:rPr>
          <w:rStyle w:val="FootnoteReference"/>
        </w:rPr>
        <w:footnoteRef/>
      </w:r>
      <w:r>
        <w:t xml:space="preserve"> </w:t>
      </w:r>
      <w:r w:rsidRPr="007B0C25">
        <w:rPr>
          <w:rStyle w:val="FootnotetextChar0"/>
        </w:rPr>
        <w:tab/>
      </w:r>
      <w:r>
        <w:rPr>
          <w:rStyle w:val="FootnotetextChar0"/>
        </w:rPr>
        <w:t xml:space="preserve">Plaintiff attorneys typically receive fees in derivative actions.  Derivative actions come within the common fund or common benefit exception to the American rule for attorney fees.  </w:t>
      </w:r>
      <w:r w:rsidRPr="00C80D7D">
        <w:rPr>
          <w:rStyle w:val="FootnotetextChar0"/>
          <w:i/>
        </w:rPr>
        <w:t>See e.g</w:t>
      </w:r>
      <w:r>
        <w:rPr>
          <w:rStyle w:val="FootnotetextChar0"/>
        </w:rPr>
        <w:t xml:space="preserve">., </w:t>
      </w:r>
      <w:proofErr w:type="spellStart"/>
      <w:r w:rsidRPr="007B0C25">
        <w:rPr>
          <w:rStyle w:val="FootnotetextChar0"/>
        </w:rPr>
        <w:t>Ams</w:t>
      </w:r>
      <w:proofErr w:type="spellEnd"/>
      <w:r w:rsidRPr="007B0C25">
        <w:rPr>
          <w:rStyle w:val="FootnotetextChar0"/>
        </w:rPr>
        <w:t xml:space="preserve">. Mining Corp. v. </w:t>
      </w:r>
      <w:proofErr w:type="spellStart"/>
      <w:r w:rsidRPr="007B0C25">
        <w:rPr>
          <w:rStyle w:val="FootnotetextChar0"/>
        </w:rPr>
        <w:t>Theriault</w:t>
      </w:r>
      <w:proofErr w:type="spellEnd"/>
      <w:r w:rsidRPr="007B0C25">
        <w:rPr>
          <w:rStyle w:val="FootnotetextChar0"/>
        </w:rPr>
        <w:t>,</w:t>
      </w:r>
      <w:r w:rsidRPr="00C80D7D">
        <w:rPr>
          <w:rStyle w:val="FootnotetextChar0"/>
        </w:rPr>
        <w:t xml:space="preserve"> 51 A.3d 1213 (Del. 2012) </w:t>
      </w:r>
      <w:r w:rsidRPr="007B0C25">
        <w:rPr>
          <w:rStyle w:val="FootnotetextChar0"/>
        </w:rPr>
        <w:t>(Under the common fund doctrine, “a litigant or a lawyer who recovers a common fund for the benefit of persons other than himself or his client is entitled to a reasonable attorney’s fee from the fund as a whole”)</w:t>
      </w:r>
      <w:r>
        <w:rPr>
          <w:rStyle w:val="FootnotetextChar0"/>
        </w:rPr>
        <w:t xml:space="preserve">; and Comment, </w:t>
      </w:r>
      <w:r w:rsidRPr="007451CB">
        <w:rPr>
          <w:rStyle w:val="FootnotetextChar0"/>
          <w:i/>
        </w:rPr>
        <w:t>Attorney Fees:  Attorney Fees, Prevailing Parties, and Judicial Discretion in Oklahoma Practice:  How It Is, How It Should Be</w:t>
      </w:r>
      <w:r>
        <w:rPr>
          <w:rStyle w:val="FootnotetextChar0"/>
        </w:rPr>
        <w:t xml:space="preserve">, 57 </w:t>
      </w:r>
      <w:proofErr w:type="spellStart"/>
      <w:r w:rsidRPr="00C80D7D">
        <w:rPr>
          <w:rStyle w:val="FootnotetextChar0"/>
          <w:smallCaps/>
        </w:rPr>
        <w:t>Okla.L.Rev</w:t>
      </w:r>
      <w:proofErr w:type="spellEnd"/>
      <w:r>
        <w:rPr>
          <w:rStyle w:val="FootnotetextChar0"/>
        </w:rPr>
        <w:t xml:space="preserve">. </w:t>
      </w:r>
      <w:proofErr w:type="gramStart"/>
      <w:r>
        <w:rPr>
          <w:rStyle w:val="FootnotetextChar0"/>
        </w:rPr>
        <w:t>947, 949 (2003).</w:t>
      </w:r>
      <w:proofErr w:type="gramEnd"/>
      <w:r>
        <w:rPr>
          <w:sz w:val="23"/>
          <w:szCs w:val="23"/>
        </w:rPr>
        <w:t xml:space="preserve"> </w:t>
      </w:r>
      <w:r w:rsidRPr="007B0C25">
        <w:rPr>
          <w:rStyle w:val="FootnotetextChar0"/>
        </w:rPr>
        <w:t xml:space="preserve"> </w:t>
      </w:r>
      <w:r>
        <w:rPr>
          <w:rStyle w:val="FootnotetextChar0"/>
        </w:rPr>
        <w:t xml:space="preserve">Subsection B modifies this practice by requiring a “substantial” benefit.  Plaintiff attorneys normally recover if they can show any benefit.  </w:t>
      </w:r>
      <w:r w:rsidRPr="003F764E">
        <w:rPr>
          <w:rStyle w:val="FootnotetextChar0"/>
          <w:i/>
        </w:rPr>
        <w:t>See</w:t>
      </w:r>
      <w:r>
        <w:rPr>
          <w:rStyle w:val="FootnotetextChar0"/>
        </w:rPr>
        <w:t xml:space="preserve"> </w:t>
      </w:r>
      <w:r>
        <w:t xml:space="preserve">Sean J. Griffith, </w:t>
      </w:r>
      <w:r w:rsidRPr="00C90946">
        <w:rPr>
          <w:i/>
        </w:rPr>
        <w:t>Correcting Corporate Benefit: How to Fix Shareholder Litigation by Shifting the Doctrine on Fees</w:t>
      </w:r>
      <w:r>
        <w:t xml:space="preserve">, </w:t>
      </w:r>
      <w:proofErr w:type="gramStart"/>
      <w:r>
        <w:t xml:space="preserve">56 </w:t>
      </w:r>
      <w:r w:rsidRPr="00C90946">
        <w:rPr>
          <w:smallCaps/>
        </w:rPr>
        <w:t>B</w:t>
      </w:r>
      <w:r>
        <w:rPr>
          <w:smallCaps/>
        </w:rPr>
        <w:t xml:space="preserve">oston </w:t>
      </w:r>
      <w:proofErr w:type="spellStart"/>
      <w:r w:rsidRPr="00C90946">
        <w:rPr>
          <w:smallCaps/>
        </w:rPr>
        <w:t>C</w:t>
      </w:r>
      <w:r>
        <w:rPr>
          <w:smallCaps/>
        </w:rPr>
        <w:t>ollege</w:t>
      </w:r>
      <w:r w:rsidRPr="00C90946">
        <w:rPr>
          <w:smallCaps/>
        </w:rPr>
        <w:t>.L.Rev</w:t>
      </w:r>
      <w:proofErr w:type="spellEnd"/>
      <w:proofErr w:type="gramEnd"/>
      <w:r>
        <w:t xml:space="preserve">. </w:t>
      </w:r>
      <w:proofErr w:type="gramStart"/>
      <w:r>
        <w:t>1, 25-27 (forthcoming 2015) (available at www.srn.com/author=32766).</w:t>
      </w:r>
      <w:proofErr w:type="gramEnd"/>
    </w:p>
  </w:footnote>
  <w:footnote w:id="33">
    <w:p w:rsidR="000018DD" w:rsidRPr="00A6560D" w:rsidRDefault="000018DD" w:rsidP="00A6560D">
      <w:pPr>
        <w:pStyle w:val="Default"/>
        <w:spacing w:before="120"/>
        <w:ind w:left="720" w:right="360" w:hanging="360"/>
        <w:rPr>
          <w:rStyle w:val="FootnotetextChar0"/>
        </w:rPr>
      </w:pPr>
      <w:r>
        <w:rPr>
          <w:rStyle w:val="FootnoteReference"/>
        </w:rPr>
        <w:footnoteRef/>
      </w:r>
      <w:r>
        <w:t xml:space="preserve"> </w:t>
      </w:r>
      <w:r>
        <w:tab/>
      </w:r>
      <w:r w:rsidRPr="00A6560D">
        <w:rPr>
          <w:rStyle w:val="FootnotetextChar0"/>
        </w:rPr>
        <w:t xml:space="preserve">Shareholder derivative </w:t>
      </w:r>
      <w:r>
        <w:rPr>
          <w:rStyle w:val="FootnotetextChar0"/>
        </w:rPr>
        <w:t xml:space="preserve">actions may be brought against the directors for breach of fiduciary duty through </w:t>
      </w:r>
      <w:r w:rsidRPr="00A6560D">
        <w:rPr>
          <w:rStyle w:val="FootnotetextChar0"/>
        </w:rPr>
        <w:t>self-dealing</w:t>
      </w:r>
      <w:r>
        <w:rPr>
          <w:rStyle w:val="FootnotetextChar0"/>
        </w:rPr>
        <w:t xml:space="preserve"> or</w:t>
      </w:r>
      <w:r w:rsidRPr="00A6560D">
        <w:rPr>
          <w:rStyle w:val="FootnotetextChar0"/>
        </w:rPr>
        <w:t xml:space="preserve"> waste of corporate assets</w:t>
      </w:r>
      <w:r>
        <w:rPr>
          <w:rStyle w:val="FootnotetextChar0"/>
        </w:rPr>
        <w:t xml:space="preserve">.  Shareholders may also sue if the directors have breach duties by failing through neglect to institute proper safeguards that exposed the corporation to </w:t>
      </w:r>
      <w:r w:rsidRPr="00A6560D">
        <w:rPr>
          <w:rStyle w:val="FootnotetextChar0"/>
        </w:rPr>
        <w:t>“regulatory sanctions, criminal or civil fines, environmental disasters, accounting restatements, misconduct by officers or employees, massive business losses, and innumerable other potential calamities.”</w:t>
      </w:r>
      <w:r>
        <w:rPr>
          <w:rStyle w:val="FootnotetextChar0"/>
        </w:rPr>
        <w:t xml:space="preserve">  This later basis are referred to as “Caremark” claims, after the case </w:t>
      </w:r>
      <w:r w:rsidRPr="00A6560D">
        <w:rPr>
          <w:rStyle w:val="FootnotetextChar0"/>
          <w:i/>
        </w:rPr>
        <w:t xml:space="preserve">In re Caremark Int’l Inc. Deriv. </w:t>
      </w:r>
      <w:proofErr w:type="spellStart"/>
      <w:r w:rsidRPr="00A6560D">
        <w:rPr>
          <w:rStyle w:val="FootnotetextChar0"/>
          <w:i/>
        </w:rPr>
        <w:t>Litig</w:t>
      </w:r>
      <w:proofErr w:type="spellEnd"/>
      <w:r w:rsidRPr="00A6560D">
        <w:rPr>
          <w:rStyle w:val="FootnotetextChar0"/>
        </w:rPr>
        <w:t>., 698 A.2d 959 (Del. Ch. 1996)</w:t>
      </w:r>
      <w:r>
        <w:rPr>
          <w:rStyle w:val="FootnotetextChar0"/>
        </w:rPr>
        <w:t xml:space="preserve">.  The M&amp;A derivative claims alleging disclosure weaknesses are typically Caremark claims. </w:t>
      </w:r>
    </w:p>
  </w:footnote>
  <w:footnote w:id="34">
    <w:p w:rsidR="000018DD" w:rsidRDefault="000018DD" w:rsidP="006632D5">
      <w:pPr>
        <w:pStyle w:val="FootnoteText"/>
      </w:pPr>
      <w:r>
        <w:rPr>
          <w:rStyle w:val="FootnoteReference"/>
        </w:rPr>
        <w:footnoteRef/>
      </w:r>
      <w:r>
        <w:t xml:space="preserve"> </w:t>
      </w:r>
      <w:r>
        <w:tab/>
        <w:t xml:space="preserve">Robert M. </w:t>
      </w:r>
      <w:proofErr w:type="spellStart"/>
      <w:r w:rsidRPr="003F3F06">
        <w:rPr>
          <w:rStyle w:val="FootnotetextChar0"/>
        </w:rPr>
        <w:t>Daines</w:t>
      </w:r>
      <w:proofErr w:type="spellEnd"/>
      <w:r w:rsidRPr="003F3F06">
        <w:rPr>
          <w:rStyle w:val="FootnotetextChar0"/>
        </w:rPr>
        <w:t xml:space="preserve"> and </w:t>
      </w:r>
      <w:r>
        <w:rPr>
          <w:rStyle w:val="FootnotetextChar0"/>
        </w:rPr>
        <w:t xml:space="preserve">Olga </w:t>
      </w:r>
      <w:proofErr w:type="spellStart"/>
      <w:r w:rsidRPr="003F3F06">
        <w:rPr>
          <w:rStyle w:val="FootnotetextChar0"/>
        </w:rPr>
        <w:t>Koumrian</w:t>
      </w:r>
      <w:proofErr w:type="spellEnd"/>
      <w:r w:rsidRPr="003F3F06">
        <w:rPr>
          <w:rStyle w:val="FootnotetextChar0"/>
        </w:rPr>
        <w:t xml:space="preserve">, </w:t>
      </w:r>
      <w:r>
        <w:rPr>
          <w:rStyle w:val="FootnotetextChar0"/>
          <w:i/>
        </w:rPr>
        <w:t>Shareholder Litigation Involving Mergers and Acquisitions</w:t>
      </w:r>
      <w:r>
        <w:rPr>
          <w:rStyle w:val="FootnotetextChar0"/>
        </w:rPr>
        <w:t xml:space="preserve"> (Feb. 2013 update) (available at </w:t>
      </w:r>
      <w:hyperlink r:id="rId12" w:history="1">
        <w:r w:rsidRPr="00D30A26">
          <w:rPr>
            <w:rStyle w:val="Hyperlink"/>
            <w:rFonts w:eastAsiaTheme="minorHAnsi"/>
          </w:rPr>
          <w:t xml:space="preserve">https://www.cornerstone.com/CMSPages/GetFile. </w:t>
        </w:r>
        <w:proofErr w:type="spellStart"/>
        <w:r w:rsidRPr="00D30A26">
          <w:rPr>
            <w:rStyle w:val="Hyperlink"/>
            <w:rFonts w:eastAsiaTheme="minorHAnsi"/>
          </w:rPr>
          <w:t>aspx?guid</w:t>
        </w:r>
        <w:proofErr w:type="spellEnd"/>
        <w:r w:rsidRPr="00D30A26">
          <w:rPr>
            <w:rStyle w:val="Hyperlink"/>
            <w:rFonts w:eastAsiaTheme="minorHAnsi"/>
          </w:rPr>
          <w:t>=9d8fd78f-7807-485a-a8fc-4ec4182dedd6</w:t>
        </w:r>
      </w:hyperlink>
      <w:r>
        <w:rPr>
          <w:rStyle w:val="FootnotetextChar0"/>
        </w:rPr>
        <w:t xml:space="preserve">).  Similar results were reported in </w:t>
      </w:r>
      <w:r w:rsidRPr="001871EE">
        <w:rPr>
          <w:rStyle w:val="FootnotetextChar0"/>
        </w:rPr>
        <w:t xml:space="preserve">Joseph A. </w:t>
      </w:r>
      <w:proofErr w:type="spellStart"/>
      <w:r w:rsidRPr="001871EE">
        <w:rPr>
          <w:rStyle w:val="FootnotetextChar0"/>
        </w:rPr>
        <w:t>Grundfest</w:t>
      </w:r>
      <w:proofErr w:type="spellEnd"/>
      <w:r w:rsidRPr="001871EE">
        <w:rPr>
          <w:rStyle w:val="FootnotetextChar0"/>
        </w:rPr>
        <w:t xml:space="preserve"> and Kristen A. </w:t>
      </w:r>
      <w:proofErr w:type="spellStart"/>
      <w:r w:rsidRPr="001871EE">
        <w:rPr>
          <w:rStyle w:val="FootnotetextChar0"/>
        </w:rPr>
        <w:t>Savelle</w:t>
      </w:r>
      <w:proofErr w:type="spellEnd"/>
      <w:r w:rsidRPr="001871EE">
        <w:rPr>
          <w:rStyle w:val="FootnotetextChar0"/>
        </w:rPr>
        <w:t xml:space="preserve">, </w:t>
      </w:r>
      <w:proofErr w:type="gramStart"/>
      <w:r w:rsidRPr="00CD46A9">
        <w:rPr>
          <w:rStyle w:val="FootnotetextChar0"/>
          <w:i/>
        </w:rPr>
        <w:t>The</w:t>
      </w:r>
      <w:proofErr w:type="gramEnd"/>
      <w:r w:rsidRPr="00CD46A9">
        <w:rPr>
          <w:rStyle w:val="FootnotetextChar0"/>
          <w:i/>
        </w:rPr>
        <w:t xml:space="preserve"> Brouhaha Over Intra-Corporate Forum Selection Provisions: A Legal, Economic, and Political Analysis</w:t>
      </w:r>
      <w:r w:rsidRPr="001871EE">
        <w:rPr>
          <w:rStyle w:val="FootnotetextChar0"/>
        </w:rPr>
        <w:t xml:space="preserve">, 68 </w:t>
      </w:r>
      <w:r w:rsidRPr="003D7781">
        <w:rPr>
          <w:rStyle w:val="FootnotetextChar0"/>
          <w:smallCaps/>
        </w:rPr>
        <w:t xml:space="preserve">Bus. </w:t>
      </w:r>
      <w:proofErr w:type="gramStart"/>
      <w:r w:rsidRPr="003D7781">
        <w:rPr>
          <w:rStyle w:val="FootnotetextChar0"/>
          <w:smallCaps/>
        </w:rPr>
        <w:t>Law</w:t>
      </w:r>
      <w:r w:rsidRPr="001871EE">
        <w:rPr>
          <w:rStyle w:val="FootnotetextChar0"/>
        </w:rPr>
        <w:t>.</w:t>
      </w:r>
      <w:proofErr w:type="gramEnd"/>
      <w:r w:rsidRPr="001871EE">
        <w:rPr>
          <w:rStyle w:val="FootnotetextChar0"/>
        </w:rPr>
        <w:t xml:space="preserve"> 325</w:t>
      </w:r>
      <w:r>
        <w:rPr>
          <w:rStyle w:val="FootnotetextChar0"/>
        </w:rPr>
        <w:t>,</w:t>
      </w:r>
      <w:r w:rsidRPr="001871EE">
        <w:rPr>
          <w:rStyle w:val="FootnotetextChar0"/>
        </w:rPr>
        <w:t xml:space="preserve"> </w:t>
      </w:r>
      <w:r>
        <w:rPr>
          <w:rStyle w:val="FootnotetextChar0"/>
        </w:rPr>
        <w:t>335-339</w:t>
      </w:r>
      <w:r w:rsidRPr="001871EE">
        <w:rPr>
          <w:rStyle w:val="FootnotetextChar0"/>
        </w:rPr>
        <w:t>(Feb. 2013).</w:t>
      </w:r>
      <w:r>
        <w:rPr>
          <w:rStyle w:val="FootnotetextChar0"/>
        </w:rPr>
        <w:t xml:space="preserve"> </w:t>
      </w:r>
    </w:p>
  </w:footnote>
  <w:footnote w:id="35">
    <w:p w:rsidR="000018DD" w:rsidRPr="003F3F06" w:rsidRDefault="000018DD" w:rsidP="00C72E06">
      <w:pPr>
        <w:ind w:left="720" w:right="360" w:hanging="360"/>
        <w:rPr>
          <w:rStyle w:val="FootnotetextChar0"/>
        </w:rPr>
      </w:pPr>
      <w:r>
        <w:rPr>
          <w:rStyle w:val="FootnoteReference"/>
        </w:rPr>
        <w:footnoteRef/>
      </w:r>
      <w:r>
        <w:t xml:space="preserve"> </w:t>
      </w:r>
      <w:r>
        <w:tab/>
      </w:r>
      <w:proofErr w:type="gramStart"/>
      <w:r w:rsidRPr="00E748CB">
        <w:rPr>
          <w:rStyle w:val="FootnotetextChar0"/>
        </w:rPr>
        <w:t xml:space="preserve">Andrew J. </w:t>
      </w:r>
      <w:proofErr w:type="spellStart"/>
      <w:r w:rsidRPr="00E748CB">
        <w:rPr>
          <w:rStyle w:val="FootnotetextChar0"/>
        </w:rPr>
        <w:t>Pincus</w:t>
      </w:r>
      <w:proofErr w:type="spellEnd"/>
      <w:r w:rsidRPr="00E748CB">
        <w:rPr>
          <w:rStyle w:val="FootnotetextChar0"/>
        </w:rPr>
        <w:t xml:space="preserve">, </w:t>
      </w:r>
      <w:r w:rsidRPr="006C0387">
        <w:rPr>
          <w:rStyle w:val="FootnotetextChar0"/>
          <w:i/>
        </w:rPr>
        <w:t>The Trial Lawyer’s New Merger Tax</w:t>
      </w:r>
      <w:r w:rsidRPr="00E748CB">
        <w:rPr>
          <w:rStyle w:val="FootnotetextChar0"/>
        </w:rPr>
        <w:t xml:space="preserve">, </w:t>
      </w:r>
      <w:r w:rsidRPr="006C0387">
        <w:rPr>
          <w:rStyle w:val="FootnotetextChar0"/>
          <w:smallCaps/>
        </w:rPr>
        <w:t>U.S. Chamber Inst. for Legal Reform</w:t>
      </w:r>
      <w:r w:rsidRPr="00E748CB">
        <w:rPr>
          <w:rStyle w:val="FootnotetextChar0"/>
        </w:rPr>
        <w:t xml:space="preserve"> (Oct. 2012) at 2</w:t>
      </w:r>
      <w:r>
        <w:rPr>
          <w:rStyle w:val="FootnotetextChar0"/>
        </w:rPr>
        <w:t xml:space="preserve">; and </w:t>
      </w:r>
      <w:proofErr w:type="spellStart"/>
      <w:r w:rsidRPr="00E748CB">
        <w:rPr>
          <w:rStyle w:val="FootnotetextChar0"/>
        </w:rPr>
        <w:t>Grundfest</w:t>
      </w:r>
      <w:proofErr w:type="spellEnd"/>
      <w:r w:rsidRPr="00E748CB">
        <w:rPr>
          <w:rStyle w:val="FootnotetextChar0"/>
        </w:rPr>
        <w:t xml:space="preserve"> and </w:t>
      </w:r>
      <w:proofErr w:type="spellStart"/>
      <w:r w:rsidRPr="00E748CB">
        <w:rPr>
          <w:rStyle w:val="FootnotetextChar0"/>
        </w:rPr>
        <w:t>Savelle</w:t>
      </w:r>
      <w:proofErr w:type="spellEnd"/>
      <w:r w:rsidRPr="00E748CB">
        <w:rPr>
          <w:rStyle w:val="FootnotetextChar0"/>
        </w:rPr>
        <w:t xml:space="preserve">, </w:t>
      </w:r>
      <w:r w:rsidRPr="00E748CB">
        <w:rPr>
          <w:rStyle w:val="FootnotetextChar0"/>
          <w:i/>
        </w:rPr>
        <w:t>id</w:t>
      </w:r>
      <w:r w:rsidRPr="00E748CB">
        <w:rPr>
          <w:rStyle w:val="FootnotetextChar0"/>
        </w:rPr>
        <w:t>.</w:t>
      </w:r>
      <w:proofErr w:type="gramEnd"/>
      <w:r w:rsidRPr="00E748CB">
        <w:rPr>
          <w:rStyle w:val="FootnotetextChar0"/>
        </w:rPr>
        <w:t xml:space="preserve"> </w:t>
      </w:r>
      <w:proofErr w:type="gramStart"/>
      <w:r w:rsidRPr="00E748CB">
        <w:rPr>
          <w:rStyle w:val="FootnotetextChar0"/>
        </w:rPr>
        <w:t>at</w:t>
      </w:r>
      <w:proofErr w:type="gramEnd"/>
      <w:r w:rsidRPr="00E748CB">
        <w:rPr>
          <w:rStyle w:val="FootnotetextChar0"/>
        </w:rPr>
        <w:t xml:space="preserve"> 328-329 and fn. 20.  </w:t>
      </w:r>
    </w:p>
  </w:footnote>
  <w:footnote w:id="36">
    <w:p w:rsidR="000018DD" w:rsidRPr="007451CB" w:rsidRDefault="000018DD" w:rsidP="00C72E06">
      <w:pPr>
        <w:pStyle w:val="FootnoteText"/>
      </w:pPr>
      <w:r>
        <w:rPr>
          <w:rStyle w:val="FootnoteReference"/>
        </w:rPr>
        <w:footnoteRef/>
      </w:r>
      <w:r>
        <w:t xml:space="preserve"> </w:t>
      </w:r>
      <w:r>
        <w:tab/>
      </w:r>
      <w:r w:rsidRPr="007451CB">
        <w:rPr>
          <w:i/>
        </w:rPr>
        <w:t xml:space="preserve">See </w:t>
      </w:r>
      <w:r w:rsidRPr="007451CB">
        <w:t xml:space="preserve">In re </w:t>
      </w:r>
      <w:proofErr w:type="spellStart"/>
      <w:r w:rsidRPr="007451CB">
        <w:t>Medicis</w:t>
      </w:r>
      <w:proofErr w:type="spellEnd"/>
      <w:r w:rsidRPr="007451CB">
        <w:t xml:space="preserve"> Pharm. Corp. </w:t>
      </w:r>
      <w:proofErr w:type="spellStart"/>
      <w:r w:rsidRPr="007451CB">
        <w:t>S’holders</w:t>
      </w:r>
      <w:proofErr w:type="spellEnd"/>
      <w:r w:rsidRPr="007451CB">
        <w:t xml:space="preserve"> </w:t>
      </w:r>
      <w:proofErr w:type="spellStart"/>
      <w:r w:rsidRPr="007451CB">
        <w:t>Litig</w:t>
      </w:r>
      <w:proofErr w:type="spellEnd"/>
      <w:r w:rsidRPr="007451CB">
        <w:t xml:space="preserve">., Consol. C.A. No. 7857-CS (Del.Ch. </w:t>
      </w:r>
      <w:proofErr w:type="gramStart"/>
      <w:r w:rsidRPr="007451CB">
        <w:t>Feb.</w:t>
      </w:r>
      <w:r>
        <w:t> </w:t>
      </w:r>
      <w:r w:rsidRPr="007451CB">
        <w:t xml:space="preserve">26, 2014) (refusing a disclosure only settlement because the added disclosure did not “alter the total mix of information” because it “reinforced” management’s recommendation rather than “contradicting” it); </w:t>
      </w:r>
      <w:r w:rsidRPr="007451CB">
        <w:rPr>
          <w:i/>
        </w:rPr>
        <w:t>accord</w:t>
      </w:r>
      <w:r w:rsidRPr="007451CB">
        <w:t xml:space="preserve"> In re Coventry </w:t>
      </w:r>
      <w:proofErr w:type="spellStart"/>
      <w:r w:rsidRPr="007451CB">
        <w:t>S’holders</w:t>
      </w:r>
      <w:proofErr w:type="spellEnd"/>
      <w:r w:rsidRPr="007451CB">
        <w:t xml:space="preserve"> </w:t>
      </w:r>
      <w:proofErr w:type="spellStart"/>
      <w:r w:rsidRPr="007451CB">
        <w:t>Litig</w:t>
      </w:r>
      <w:proofErr w:type="spellEnd"/>
      <w:r w:rsidRPr="007451CB">
        <w:t>., C.A. No. 7905-CS (Del.Ch.</w:t>
      </w:r>
      <w:proofErr w:type="gramEnd"/>
      <w:r w:rsidRPr="007451CB">
        <w:t xml:space="preserve"> Aug.</w:t>
      </w:r>
      <w:r>
        <w:t> </w:t>
      </w:r>
      <w:r w:rsidRPr="007451CB">
        <w:t xml:space="preserve">29, 2013); and In re Transatlantic Holdings Inc. </w:t>
      </w:r>
      <w:proofErr w:type="spellStart"/>
      <w:r w:rsidRPr="007451CB">
        <w:t>S’holders</w:t>
      </w:r>
      <w:proofErr w:type="spellEnd"/>
      <w:r w:rsidRPr="007451CB">
        <w:t xml:space="preserve"> </w:t>
      </w:r>
      <w:proofErr w:type="spellStart"/>
      <w:proofErr w:type="gramStart"/>
      <w:r w:rsidRPr="007451CB">
        <w:t>Litig</w:t>
      </w:r>
      <w:proofErr w:type="spellEnd"/>
      <w:r w:rsidRPr="007451CB">
        <w:t>.,</w:t>
      </w:r>
      <w:proofErr w:type="gramEnd"/>
      <w:r w:rsidRPr="007451CB">
        <w:t xml:space="preserve"> Consol. C.A. No. 6574-CS (Del.Ch. Feb. 28, 2013).  In Texas, the legislature had prohibited the award of attorney fees in class actions that gave the class coupons or similar non-cash consideration, but no money.  In </w:t>
      </w:r>
      <w:proofErr w:type="spellStart"/>
      <w:r w:rsidRPr="007451CB">
        <w:rPr>
          <w:i/>
        </w:rPr>
        <w:t>Kazman</w:t>
      </w:r>
      <w:proofErr w:type="spellEnd"/>
      <w:r w:rsidRPr="007451CB">
        <w:rPr>
          <w:i/>
        </w:rPr>
        <w:t xml:space="preserve"> v. Frontier Oil Corp.</w:t>
      </w:r>
      <w:r w:rsidRPr="007451CB">
        <w:t>, No. 14-12-000320-CV, 2013 WL 1244376 (Tex. Ct. App. Mar. 28, 2013), a Texas court applied this statute to a disclosure only, merger settlement.  The ruling has effectively precluded the</w:t>
      </w:r>
      <w:r>
        <w:t>se</w:t>
      </w:r>
      <w:r w:rsidRPr="007451CB">
        <w:t xml:space="preserve"> types of derivative actions in Texas.  </w:t>
      </w:r>
    </w:p>
  </w:footnote>
  <w:footnote w:id="37">
    <w:p w:rsidR="000018DD" w:rsidRDefault="000018DD">
      <w:pPr>
        <w:pStyle w:val="FootnoteText"/>
      </w:pPr>
      <w:r>
        <w:rPr>
          <w:rStyle w:val="FootnoteReference"/>
        </w:rPr>
        <w:footnoteRef/>
      </w:r>
      <w:r>
        <w:t xml:space="preserve"> </w:t>
      </w:r>
      <w:r>
        <w:tab/>
        <w:t xml:space="preserve">Shareholder derivative actions were traditionally filed in the jurisdiction of the state of incorporation.  In the late 1990’s, plaintiffs began filing in other jurisdictions and now commonly file in multiple jurisdictions when the cases involve large, public corporations.  </w:t>
      </w:r>
      <w:r w:rsidRPr="007F3693">
        <w:rPr>
          <w:i/>
        </w:rPr>
        <w:t>See</w:t>
      </w:r>
      <w:r>
        <w:t xml:space="preserve"> Joseph A. </w:t>
      </w:r>
      <w:proofErr w:type="spellStart"/>
      <w:r>
        <w:t>Grundfest</w:t>
      </w:r>
      <w:proofErr w:type="spellEnd"/>
      <w:r>
        <w:t xml:space="preserve">, </w:t>
      </w:r>
      <w:proofErr w:type="gramStart"/>
      <w:r w:rsidRPr="007F3693">
        <w:rPr>
          <w:i/>
        </w:rPr>
        <w:t>The</w:t>
      </w:r>
      <w:proofErr w:type="gramEnd"/>
      <w:r w:rsidRPr="007F3693">
        <w:rPr>
          <w:i/>
        </w:rPr>
        <w:t xml:space="preserve"> History and Evolution of Intra-Corporate Forum Selection Clauses:  An Empirical Analysis</w:t>
      </w:r>
      <w:r>
        <w:t xml:space="preserve">, 37 </w:t>
      </w:r>
      <w:proofErr w:type="spellStart"/>
      <w:r w:rsidRPr="00380FF5">
        <w:rPr>
          <w:smallCaps/>
        </w:rPr>
        <w:t>Del.J.Corp.Law</w:t>
      </w:r>
      <w:proofErr w:type="spellEnd"/>
      <w:r>
        <w:t xml:space="preserve"> 333(2012).  </w:t>
      </w:r>
    </w:p>
  </w:footnote>
  <w:footnote w:id="38">
    <w:p w:rsidR="000018DD" w:rsidRPr="007451CB" w:rsidRDefault="000018DD" w:rsidP="00294A09">
      <w:pPr>
        <w:pStyle w:val="FootnoteText"/>
      </w:pPr>
      <w:r w:rsidRPr="007451CB">
        <w:rPr>
          <w:rStyle w:val="FootnoteReference"/>
        </w:rPr>
        <w:footnoteRef/>
      </w:r>
      <w:r w:rsidRPr="007451CB">
        <w:t xml:space="preserve"> </w:t>
      </w:r>
      <w:r w:rsidRPr="007451CB">
        <w:tab/>
      </w:r>
      <w:r w:rsidRPr="007F3693">
        <w:rPr>
          <w:i/>
        </w:rPr>
        <w:t>See</w:t>
      </w:r>
      <w:r>
        <w:t xml:space="preserve"> </w:t>
      </w:r>
      <w:r w:rsidRPr="007F3693">
        <w:rPr>
          <w:rStyle w:val="FootnotetextChar0"/>
        </w:rPr>
        <w:t xml:space="preserve">Boilermakers Local 154 Retirement Fund v. Chevron Corp., </w:t>
      </w:r>
      <w:r w:rsidRPr="007451CB">
        <w:rPr>
          <w:rStyle w:val="FootnotetextChar0"/>
        </w:rPr>
        <w:t>73 A.3d 934 (Del.Ch. 2013) (forum selection bylaws are contractually valid and enforceable in shareholder litigation under Delaware law)</w:t>
      </w:r>
      <w:r>
        <w:rPr>
          <w:rStyle w:val="FootnotetextChar0"/>
        </w:rPr>
        <w:t xml:space="preserve">.  Delaware forum selection bylaws have been upheld in Illinois, Louisiana and New York.  </w:t>
      </w:r>
      <w:proofErr w:type="gramStart"/>
      <w:r w:rsidRPr="00294A09">
        <w:rPr>
          <w:rStyle w:val="FootnotetextChar0"/>
          <w:i/>
        </w:rPr>
        <w:t>See respectively</w:t>
      </w:r>
      <w:r>
        <w:rPr>
          <w:rStyle w:val="FootnotetextChar0"/>
        </w:rPr>
        <w:t xml:space="preserve">, </w:t>
      </w:r>
      <w:r>
        <w:t>Miller v. Beam Inc., 2014-CH-00932 (</w:t>
      </w:r>
      <w:proofErr w:type="spellStart"/>
      <w:r>
        <w:t>Ill.Ch.Ct</w:t>
      </w:r>
      <w:proofErr w:type="spellEnd"/>
      <w:r>
        <w:t>.</w:t>
      </w:r>
      <w:proofErr w:type="gramEnd"/>
      <w:r>
        <w:t xml:space="preserve"> Mar. 5, 2014),</w:t>
      </w:r>
      <w:r w:rsidRPr="00294A09">
        <w:t xml:space="preserve"> </w:t>
      </w:r>
      <w:proofErr w:type="spellStart"/>
      <w:r>
        <w:t>Genoud</w:t>
      </w:r>
      <w:proofErr w:type="spellEnd"/>
      <w:r>
        <w:t xml:space="preserve"> v. </w:t>
      </w:r>
      <w:proofErr w:type="spellStart"/>
      <w:r>
        <w:t>Edgen</w:t>
      </w:r>
      <w:proofErr w:type="spellEnd"/>
      <w:r>
        <w:t xml:space="preserve"> Group Inc., No. 625,244 (19</w:t>
      </w:r>
      <w:r w:rsidRPr="00294A09">
        <w:rPr>
          <w:vertAlign w:val="superscript"/>
        </w:rPr>
        <w:t>th</w:t>
      </w:r>
      <w:r>
        <w:t xml:space="preserve"> </w:t>
      </w:r>
      <w:proofErr w:type="spellStart"/>
      <w:r>
        <w:t>Jud.Distr.Ct</w:t>
      </w:r>
      <w:proofErr w:type="spellEnd"/>
      <w:r>
        <w:t xml:space="preserve">., East Baton Rouge, La. Jan. 17, 2014), and </w:t>
      </w:r>
      <w:proofErr w:type="spellStart"/>
      <w:r>
        <w:t>Hemg</w:t>
      </w:r>
      <w:proofErr w:type="spellEnd"/>
      <w:r>
        <w:t xml:space="preserve"> Inc. v. Aspen Univ., No. 650457/13, 2013 WL 5958388 (N.Y. Sup.Ct. Nov. 14, 2013)</w:t>
      </w:r>
      <w:r w:rsidRPr="007451CB">
        <w:rPr>
          <w:rFonts w:cs="Times New Roman"/>
        </w:rPr>
        <w:t xml:space="preserve">. </w:t>
      </w:r>
    </w:p>
  </w:footnote>
  <w:footnote w:id="39">
    <w:p w:rsidR="000018DD" w:rsidRDefault="000018DD">
      <w:pPr>
        <w:pStyle w:val="FootnoteText"/>
      </w:pPr>
      <w:r>
        <w:rPr>
          <w:rStyle w:val="FootnoteReference"/>
        </w:rPr>
        <w:footnoteRef/>
      </w:r>
      <w:r>
        <w:t xml:space="preserve"> </w:t>
      </w:r>
      <w:r>
        <w:tab/>
      </w:r>
      <w:r>
        <w:rPr>
          <w:rStyle w:val="FootnotetextChar0"/>
        </w:rPr>
        <w:t>91 A.3d 554 (Del. 2014); see also Hoffman</w:t>
      </w:r>
      <w:r w:rsidRPr="003F3F06">
        <w:rPr>
          <w:rStyle w:val="FootnotetextChar0"/>
        </w:rPr>
        <w:t xml:space="preserve">, </w:t>
      </w:r>
      <w:r w:rsidRPr="004775A4">
        <w:rPr>
          <w:rStyle w:val="FootnotetextChar0"/>
          <w:i/>
        </w:rPr>
        <w:t>Shareholder Suits May Prove Costly</w:t>
      </w:r>
      <w:r>
        <w:rPr>
          <w:rStyle w:val="FootnotetextChar0"/>
        </w:rPr>
        <w:t xml:space="preserve">, </w:t>
      </w:r>
      <w:r w:rsidRPr="002703CC">
        <w:rPr>
          <w:rStyle w:val="FootnotetextChar0"/>
          <w:smallCaps/>
        </w:rPr>
        <w:t>Wall St. Jour</w:t>
      </w:r>
      <w:r>
        <w:rPr>
          <w:rStyle w:val="FootnotetextChar0"/>
        </w:rPr>
        <w:t xml:space="preserve">. (May 18, 2104) (reporting on the Delaware court’s upholding of prevailing party bylaw and reporting growth in number of shareholder suits in mergers). </w:t>
      </w:r>
    </w:p>
  </w:footnote>
  <w:footnote w:id="40">
    <w:p w:rsidR="000018DD" w:rsidRDefault="000018DD">
      <w:pPr>
        <w:pStyle w:val="FootnoteText"/>
      </w:pPr>
      <w:r>
        <w:rPr>
          <w:rStyle w:val="FootnoteReference"/>
        </w:rPr>
        <w:footnoteRef/>
      </w:r>
      <w:r>
        <w:t xml:space="preserve"> </w:t>
      </w:r>
      <w:r>
        <w:tab/>
      </w:r>
      <w:proofErr w:type="gramStart"/>
      <w:r>
        <w:t>Delaware 147</w:t>
      </w:r>
      <w:r w:rsidRPr="00AE0C12">
        <w:rPr>
          <w:vertAlign w:val="superscript"/>
        </w:rPr>
        <w:t>th</w:t>
      </w:r>
      <w:r>
        <w:t xml:space="preserve"> General Assembly, Senate Bill 236 (see synopsis attached to bill); Griffith, </w:t>
      </w:r>
      <w:r w:rsidRPr="000616B0">
        <w:rPr>
          <w:i/>
        </w:rPr>
        <w:t>supra</w:t>
      </w:r>
      <w:r>
        <w:t xml:space="preserve"> at fn. 7, at 5-6.</w:t>
      </w:r>
      <w:proofErr w:type="gramEnd"/>
      <w:r>
        <w:t xml:space="preserve"> </w:t>
      </w:r>
    </w:p>
  </w:footnote>
  <w:footnote w:id="41">
    <w:p w:rsidR="000018DD" w:rsidRDefault="000018DD" w:rsidP="00C90946">
      <w:pPr>
        <w:pStyle w:val="FootnoteText"/>
      </w:pPr>
      <w:r>
        <w:rPr>
          <w:rStyle w:val="FootnoteReference"/>
        </w:rPr>
        <w:footnoteRef/>
      </w:r>
      <w:r>
        <w:t xml:space="preserve"> </w:t>
      </w:r>
      <w:r>
        <w:tab/>
      </w:r>
      <w:proofErr w:type="gramStart"/>
      <w:r>
        <w:t xml:space="preserve">Griffith, </w:t>
      </w:r>
      <w:r w:rsidRPr="00C90946">
        <w:rPr>
          <w:i/>
        </w:rPr>
        <w:t>id</w:t>
      </w:r>
      <w:r>
        <w:t>.</w:t>
      </w:r>
      <w:proofErr w:type="gramEnd"/>
      <w:r>
        <w:t xml:space="preserve"> </w:t>
      </w:r>
      <w:proofErr w:type="gramStart"/>
      <w:r>
        <w:t>at</w:t>
      </w:r>
      <w:proofErr w:type="gramEnd"/>
      <w:r>
        <w:t xml:space="preserve"> 6-7. </w:t>
      </w:r>
    </w:p>
  </w:footnote>
  <w:footnote w:id="42">
    <w:p w:rsidR="000018DD" w:rsidRDefault="000018DD">
      <w:pPr>
        <w:pStyle w:val="FootnoteText"/>
      </w:pPr>
      <w:r>
        <w:rPr>
          <w:rStyle w:val="FootnoteReference"/>
        </w:rPr>
        <w:footnoteRef/>
      </w:r>
      <w:r>
        <w:t xml:space="preserve"> </w:t>
      </w:r>
      <w:r>
        <w:tab/>
        <w:t>Two lawsuits were filed against Continental Resources, its CEO and principal shareholder, and certain other directors after it proposed to acquire an affiliate.  The suits alleged fiduciary breaches and inadequate disclosure to shareholders who were asked to approve the transaction.  See Continental Resources, Inc., Form 10-Q filed Aug. 9, 2012</w:t>
      </w:r>
      <w:r w:rsidRPr="00DF565F">
        <w:rPr>
          <w:rFonts w:cs="Times New Roman"/>
        </w:rPr>
        <w:t xml:space="preserve">, </w:t>
      </w:r>
      <w:r>
        <w:rPr>
          <w:rFonts w:cs="Times New Roman"/>
        </w:rPr>
        <w:t>r</w:t>
      </w:r>
      <w:r w:rsidRPr="00DF565F">
        <w:rPr>
          <w:rFonts w:cs="Times New Roman"/>
          <w:shd w:val="clear" w:color="auto" w:fill="FFFFFF"/>
        </w:rPr>
        <w:t xml:space="preserve">etrieved from SEC EDGAR website </w:t>
      </w:r>
      <w:hyperlink r:id="rId13" w:history="1">
        <w:r w:rsidRPr="00DF565F">
          <w:rPr>
            <w:rStyle w:val="Hyperlink"/>
            <w:rFonts w:cs="Times New Roman"/>
            <w:color w:val="auto"/>
            <w:bdr w:val="none" w:sz="0" w:space="0" w:color="auto" w:frame="1"/>
            <w:shd w:val="clear" w:color="auto" w:fill="FFFFFF"/>
          </w:rPr>
          <w:t>http://www.sec.gov/edgar.shtml</w:t>
        </w:r>
      </w:hyperlink>
      <w:r w:rsidRPr="00DF565F">
        <w:rPr>
          <w:rFonts w:cs="Times New Roman"/>
        </w:rPr>
        <w:t xml:space="preserve">. </w:t>
      </w:r>
      <w:r>
        <w:t xml:space="preserve"> The suits were settled after modifications to the disclosures and payment of plaintiff attorney fees.  </w:t>
      </w:r>
    </w:p>
  </w:footnote>
  <w:footnote w:id="43">
    <w:p w:rsidR="000018DD" w:rsidRDefault="000018DD">
      <w:pPr>
        <w:pStyle w:val="FootnoteText"/>
        <w:rPr>
          <w:rFonts w:cs="Times New Roman"/>
        </w:rPr>
      </w:pPr>
      <w:r>
        <w:rPr>
          <w:rStyle w:val="FootnoteReference"/>
        </w:rPr>
        <w:footnoteRef/>
      </w:r>
      <w:r>
        <w:t xml:space="preserve"> </w:t>
      </w:r>
      <w:r>
        <w:tab/>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sidRPr="0005031E">
        <w:rPr>
          <w:rFonts w:cs="Times New Roman"/>
        </w:rPr>
        <w:t xml:space="preserve"> </w:t>
      </w:r>
      <w:r>
        <w:rPr>
          <w:rFonts w:cs="Times New Roman"/>
        </w:rPr>
        <w:t>18</w:t>
      </w:r>
      <w:r w:rsidRPr="0005031E">
        <w:rPr>
          <w:rFonts w:cs="Times New Roman"/>
        </w:rPr>
        <w:t>, §</w:t>
      </w:r>
      <w:r>
        <w:rPr>
          <w:rFonts w:cs="Times New Roman"/>
        </w:rPr>
        <w:t xml:space="preserve">1126.C states:  </w:t>
      </w:r>
    </w:p>
    <w:p w:rsidR="000018DD" w:rsidRDefault="000018DD" w:rsidP="00EF7A52">
      <w:pPr>
        <w:pStyle w:val="FootnoteText"/>
        <w:ind w:left="1080" w:right="720" w:firstLine="0"/>
      </w:pPr>
      <w:r>
        <w:rPr>
          <w:rFonts w:cs="Times New Roman"/>
        </w:rPr>
        <w:t>“</w:t>
      </w:r>
      <w:r>
        <w:t xml:space="preserve">In any derivative action . . ., the court having jurisdiction, upon final judgment, shall require the non-prevailing party . . . to pay the prevailing party . . . the reasonable expenses, including attorney fees, taxable as costs, incurred as a result of such action.”  </w:t>
      </w:r>
    </w:p>
    <w:p w:rsidR="000018DD" w:rsidRDefault="000018DD" w:rsidP="00EF7A52">
      <w:pPr>
        <w:pStyle w:val="FootnoteText"/>
        <w:ind w:firstLine="0"/>
      </w:pPr>
      <w:r>
        <w:t xml:space="preserve">Unlike purely private litigation, the shareholder in a derivative action acts in a representative capacity and the action cannot be settled without judicial approval.  </w:t>
      </w:r>
      <w:r w:rsidRPr="00FE421C">
        <w:rPr>
          <w:i/>
        </w:rPr>
        <w:t>See</w:t>
      </w:r>
      <w:r w:rsidRPr="00FE421C">
        <w:t xml:space="preserve"> Howard </w:t>
      </w:r>
      <w:proofErr w:type="spellStart"/>
      <w:r w:rsidRPr="00FE421C">
        <w:t>Erichson</w:t>
      </w:r>
      <w:proofErr w:type="spellEnd"/>
      <w:r w:rsidRPr="00FE421C">
        <w:t xml:space="preserve">, </w:t>
      </w:r>
      <w:r w:rsidRPr="00FE421C">
        <w:rPr>
          <w:i/>
        </w:rPr>
        <w:t>The Problem of Se</w:t>
      </w:r>
      <w:r>
        <w:rPr>
          <w:i/>
        </w:rPr>
        <w:t>t</w:t>
      </w:r>
      <w:r w:rsidRPr="00FE421C">
        <w:rPr>
          <w:i/>
        </w:rPr>
        <w:t>tlement Clas</w:t>
      </w:r>
      <w:r>
        <w:rPr>
          <w:i/>
        </w:rPr>
        <w:t>s</w:t>
      </w:r>
      <w:r w:rsidRPr="00FE421C">
        <w:rPr>
          <w:i/>
        </w:rPr>
        <w:t xml:space="preserve"> Actions</w:t>
      </w:r>
      <w:r w:rsidRPr="00FE421C">
        <w:t xml:space="preserve">, </w:t>
      </w:r>
      <w:proofErr w:type="gramStart"/>
      <w:r w:rsidRPr="00FE421C">
        <w:t xml:space="preserve">82 </w:t>
      </w:r>
      <w:proofErr w:type="spellStart"/>
      <w:r w:rsidRPr="00FE421C">
        <w:rPr>
          <w:smallCaps/>
        </w:rPr>
        <w:t>Geo.Wash.L.Rev</w:t>
      </w:r>
      <w:proofErr w:type="spellEnd"/>
      <w:proofErr w:type="gramEnd"/>
      <w:r w:rsidRPr="00FE421C">
        <w:t xml:space="preserve">. </w:t>
      </w:r>
      <w:proofErr w:type="gramStart"/>
      <w:r w:rsidRPr="00FE421C">
        <w:t>951</w:t>
      </w:r>
      <w:r>
        <w:t>, 968-69 (2014).</w:t>
      </w:r>
      <w:proofErr w:type="gramEnd"/>
      <w:r>
        <w:t xml:space="preserve">  Thus, there is a “final judgment” even when the action is settled.  The subsection also states that the court “shall require” the non-prevailing party to pay.  Payment is not a matter of judicial discretion.  </w:t>
      </w:r>
    </w:p>
  </w:footnote>
  <w:footnote w:id="44">
    <w:p w:rsidR="000018DD" w:rsidRDefault="000018DD" w:rsidP="00273C86">
      <w:pPr>
        <w:pStyle w:val="FootnoteText"/>
      </w:pPr>
      <w:r>
        <w:rPr>
          <w:rStyle w:val="FootnoteReference"/>
        </w:rPr>
        <w:footnoteRef/>
      </w:r>
      <w:r>
        <w:t xml:space="preserve"> </w:t>
      </w:r>
      <w:r>
        <w:tab/>
        <w:t xml:space="preserve">House Bill 1995 was authored by Representative Randy Grau.  It was prepared by the Oklahoma General Corporation Act Committee, which is a subcommittee of the Business and Corporate Law Section of the OBA.  The Committee drafted the OGCA and the LLC Act and works to maintain the currency of Oklahoma’s business entity legislation. </w:t>
      </w:r>
    </w:p>
  </w:footnote>
  <w:footnote w:id="45">
    <w:p w:rsidR="000018DD" w:rsidRDefault="000018DD" w:rsidP="0034259B">
      <w:pPr>
        <w:pStyle w:val="FootnoteText"/>
      </w:pPr>
      <w:r>
        <w:rPr>
          <w:rStyle w:val="FootnoteReference"/>
        </w:rPr>
        <w:footnoteRef/>
      </w:r>
      <w:r>
        <w:t xml:space="preserve"> </w:t>
      </w:r>
      <w:r>
        <w:tab/>
      </w:r>
      <w:proofErr w:type="gramStart"/>
      <w:r w:rsidRPr="003E3B7F">
        <w:rPr>
          <w:rFonts w:eastAsia="Times New Roman"/>
        </w:rPr>
        <w:t>Delaware General Corporation Law</w:t>
      </w:r>
      <w:r>
        <w:rPr>
          <w:rFonts w:eastAsia="Times New Roman"/>
        </w:rPr>
        <w:t>, tit.</w:t>
      </w:r>
      <w:proofErr w:type="gramEnd"/>
      <w:r>
        <w:rPr>
          <w:rFonts w:eastAsia="Times New Roman"/>
        </w:rPr>
        <w:t xml:space="preserve"> 8, chap. 1, Del. Code</w:t>
      </w:r>
      <w:r w:rsidRPr="003E3B7F">
        <w:rPr>
          <w:rFonts w:eastAsia="Times New Roman"/>
        </w:rPr>
        <w:t xml:space="preserve"> (“</w:t>
      </w:r>
      <w:r w:rsidRPr="00273C86">
        <w:rPr>
          <w:rFonts w:eastAsia="Times New Roman"/>
          <w:i/>
        </w:rPr>
        <w:t>DGCL</w:t>
      </w:r>
      <w:r w:rsidRPr="003E3B7F">
        <w:rPr>
          <w:rFonts w:eastAsia="Times New Roman"/>
        </w:rPr>
        <w:t xml:space="preserve">”) </w:t>
      </w:r>
      <w:r>
        <w:t xml:space="preserve">The intent in modeling the OGCA after the DGCL was to foster reliance on the large body of Delaware case law, which offers persuasive guidance in Oklahoma.  </w:t>
      </w:r>
      <w:r>
        <w:rPr>
          <w:i/>
          <w:iCs/>
        </w:rPr>
        <w:t>Price v. Southwestern Bell Tel. Co.</w:t>
      </w:r>
      <w:r>
        <w:t xml:space="preserve">, 812 P.2d 1355 (Okla. 1991); </w:t>
      </w:r>
      <w:r>
        <w:rPr>
          <w:i/>
          <w:iCs/>
        </w:rPr>
        <w:t>Woolf v. Universal Fidelity Life Insurance Company</w:t>
      </w:r>
      <w:r>
        <w:t>, 849 P.2d 1093 (</w:t>
      </w:r>
      <w:proofErr w:type="spellStart"/>
      <w:r>
        <w:t>Okla.Ct.App</w:t>
      </w:r>
      <w:proofErr w:type="spellEnd"/>
      <w:r>
        <w:t>. 1992) (since the OGCA is based on the DGCL, the OGCA should be interpreted in accordance with Delaware decisions).  The continued adoption of the Delaware changes is intended to ensure continued guidance from the Delaware case law.</w:t>
      </w:r>
    </w:p>
  </w:footnote>
  <w:footnote w:id="46">
    <w:p w:rsidR="000018DD" w:rsidRDefault="000018DD" w:rsidP="00DE0437">
      <w:pPr>
        <w:pStyle w:val="FootnoteText"/>
      </w:pPr>
      <w:r>
        <w:rPr>
          <w:rStyle w:val="FootnoteReference"/>
        </w:rPr>
        <w:footnoteRef/>
      </w:r>
      <w:r>
        <w:t xml:space="preserve"> </w:t>
      </w:r>
      <w:r>
        <w:tab/>
        <w:t xml:space="preserve">Gary W. Derrick, </w:t>
      </w:r>
      <w:r w:rsidRPr="00BF4277">
        <w:rPr>
          <w:i/>
        </w:rPr>
        <w:t>Recent Developments in Oklahoma Business and Corporate Law – 20</w:t>
      </w:r>
      <w:r>
        <w:rPr>
          <w:i/>
        </w:rPr>
        <w:t>12</w:t>
      </w:r>
      <w:r>
        <w:t>, OBA 2012 Recent Developments (Day Two).</w:t>
      </w:r>
    </w:p>
  </w:footnote>
  <w:footnote w:id="47">
    <w:p w:rsidR="000018DD" w:rsidRDefault="000018DD" w:rsidP="00EC499E">
      <w:pPr>
        <w:pStyle w:val="FootnoteText"/>
      </w:pPr>
      <w:r>
        <w:rPr>
          <w:rStyle w:val="FootnoteReference"/>
        </w:rPr>
        <w:footnoteRef/>
      </w:r>
      <w:r>
        <w:t xml:space="preserve"> </w:t>
      </w:r>
      <w:r>
        <w:tab/>
      </w:r>
      <w:proofErr w:type="gramStart"/>
      <w:r>
        <w:t xml:space="preserve">8 </w:t>
      </w:r>
      <w:proofErr w:type="spellStart"/>
      <w:r>
        <w:t>Del.C</w:t>
      </w:r>
      <w:proofErr w:type="spellEnd"/>
      <w:r>
        <w:t>.</w:t>
      </w:r>
      <w:proofErr w:type="gramEnd"/>
      <w:r>
        <w:t xml:space="preserve"> </w:t>
      </w:r>
      <w:r>
        <w:rPr>
          <w:rFonts w:cs="Times New Roman"/>
        </w:rPr>
        <w:t>§§</w:t>
      </w:r>
      <w:r>
        <w:t xml:space="preserve">361-368. </w:t>
      </w:r>
    </w:p>
  </w:footnote>
  <w:footnote w:id="48">
    <w:p w:rsidR="000018DD" w:rsidRDefault="000018DD" w:rsidP="00DE0437">
      <w:pPr>
        <w:pStyle w:val="FootnoteText"/>
      </w:pPr>
      <w:r>
        <w:rPr>
          <w:rStyle w:val="FootnoteReference"/>
        </w:rPr>
        <w:footnoteRef/>
      </w:r>
      <w:r>
        <w:t xml:space="preserve"> </w:t>
      </w:r>
      <w:r>
        <w:tab/>
        <w:t xml:space="preserve">A “public benefit” has “a positive effect (or reduction of negative effects) on one or more categories of persons, entities, communities or interests (other than stockholders in their capacities as stockholders) including, but not limited to, effects of an artistic, charitable, cultural, economic, educational, environmental, literary, medical, religious, scientific or technological nature.”  </w:t>
      </w:r>
      <w:proofErr w:type="gramStart"/>
      <w:r w:rsidRPr="00DB29EE">
        <w:rPr>
          <w:i/>
        </w:rPr>
        <w:t>Id.</w:t>
      </w:r>
      <w:r>
        <w:t xml:space="preserve"> </w:t>
      </w:r>
      <w:r>
        <w:rPr>
          <w:rFonts w:cs="Times New Roman"/>
        </w:rPr>
        <w:t>§</w:t>
      </w:r>
      <w:r>
        <w:t>362(b).</w:t>
      </w:r>
      <w:proofErr w:type="gramEnd"/>
      <w:r>
        <w:t xml:space="preserve"> </w:t>
      </w:r>
    </w:p>
  </w:footnote>
  <w:footnote w:id="49">
    <w:p w:rsidR="000018DD" w:rsidRDefault="000018DD">
      <w:pPr>
        <w:pStyle w:val="FootnoteText"/>
      </w:pPr>
      <w:r>
        <w:rPr>
          <w:rStyle w:val="FootnoteReference"/>
        </w:rPr>
        <w:footnoteRef/>
      </w:r>
      <w:r>
        <w:t xml:space="preserve"> </w:t>
      </w:r>
      <w:r>
        <w:tab/>
      </w:r>
      <w:r w:rsidRPr="0008377E">
        <w:rPr>
          <w:i/>
        </w:rPr>
        <w:t>See</w:t>
      </w:r>
      <w:r>
        <w:t xml:space="preserve"> </w:t>
      </w:r>
      <w:r>
        <w:rPr>
          <w:rFonts w:eastAsia="Times New Roman"/>
          <w:bCs/>
        </w:rPr>
        <w:t xml:space="preserve">Myron Steele, </w:t>
      </w:r>
      <w:r w:rsidRPr="00EF008B">
        <w:rPr>
          <w:rFonts w:eastAsia="Times New Roman"/>
          <w:bCs/>
          <w:i/>
          <w:iCs/>
        </w:rPr>
        <w:t>Freedom of Contract and Default Contractual Duties in the Delaware Limited Partnerships and Limited Liability Companies</w:t>
      </w:r>
      <w:r w:rsidRPr="00EF008B">
        <w:rPr>
          <w:rFonts w:eastAsia="Times New Roman"/>
          <w:bCs/>
        </w:rPr>
        <w:t xml:space="preserve">, 46 </w:t>
      </w:r>
      <w:r w:rsidRPr="0008377E">
        <w:rPr>
          <w:rFonts w:eastAsia="Times New Roman"/>
          <w:bCs/>
          <w:smallCaps/>
        </w:rPr>
        <w:t xml:space="preserve">Am. Bus. </w:t>
      </w:r>
      <w:proofErr w:type="gramStart"/>
      <w:r w:rsidRPr="0008377E">
        <w:rPr>
          <w:rFonts w:eastAsia="Times New Roman"/>
          <w:bCs/>
          <w:smallCaps/>
        </w:rPr>
        <w:t>L.J.</w:t>
      </w:r>
      <w:r w:rsidRPr="00EF008B">
        <w:rPr>
          <w:rFonts w:eastAsia="Times New Roman"/>
          <w:bCs/>
        </w:rPr>
        <w:t xml:space="preserve"> 221 (2009)</w:t>
      </w:r>
      <w:r>
        <w:rPr>
          <w:rFonts w:eastAsia="Times New Roman"/>
          <w:bCs/>
        </w:rPr>
        <w:t>.</w:t>
      </w:r>
      <w:proofErr w:type="gramEnd"/>
      <w:r>
        <w:rPr>
          <w:rFonts w:eastAsia="Times New Roman"/>
          <w:bCs/>
        </w:rPr>
        <w:t xml:space="preserve">  The vigorous judicial debate in Delaware was resolved by the Delaware legislature’s affirmation that the corporate fiduciary duties apply.  </w:t>
      </w:r>
      <w:r>
        <w:t>Delaware 147</w:t>
      </w:r>
      <w:r w:rsidRPr="00AE0C12">
        <w:rPr>
          <w:vertAlign w:val="superscript"/>
        </w:rPr>
        <w:t>th</w:t>
      </w:r>
      <w:r>
        <w:t xml:space="preserve"> General Assembly, House Bill 126 (eff. Aug. 1, 2013). </w:t>
      </w:r>
    </w:p>
  </w:footnote>
  <w:footnote w:id="50">
    <w:p w:rsidR="000018DD" w:rsidRDefault="000018DD">
      <w:pPr>
        <w:pStyle w:val="FootnoteText"/>
      </w:pPr>
      <w:r>
        <w:rPr>
          <w:rStyle w:val="FootnoteReference"/>
        </w:rPr>
        <w:footnoteRef/>
      </w:r>
      <w:r>
        <w:t xml:space="preserve"> </w:t>
      </w:r>
      <w:r>
        <w:tab/>
        <w:t xml:space="preserve">House Bill 1996 was authored by Representative Randy Grau.  It was a joint project between the OBA’s Uniform Act Committee and the Oklahoma General Corporation Act Committee, which </w:t>
      </w:r>
      <w:proofErr w:type="gramStart"/>
      <w:r>
        <w:t>conformed</w:t>
      </w:r>
      <w:proofErr w:type="gramEnd"/>
      <w:r>
        <w:t xml:space="preserve"> the language to fit the statutory drafting practices and to accommodate the Secretary of State’s electronic filing system. </w:t>
      </w:r>
    </w:p>
  </w:footnote>
  <w:footnote w:id="51">
    <w:p w:rsidR="000018DD" w:rsidRDefault="000018DD">
      <w:pPr>
        <w:pStyle w:val="FootnoteText"/>
      </w:pPr>
      <w:r>
        <w:rPr>
          <w:rStyle w:val="FootnoteReference"/>
        </w:rPr>
        <w:footnoteRef/>
      </w:r>
      <w:r>
        <w:t xml:space="preserve"> </w:t>
      </w:r>
      <w:r>
        <w:tab/>
      </w:r>
      <w:r w:rsidRPr="0072179F">
        <w:rPr>
          <w:i/>
        </w:rPr>
        <w:t>See gen</w:t>
      </w:r>
      <w:r>
        <w:t xml:space="preserve">., </w:t>
      </w:r>
      <w:r w:rsidRPr="009E65A9">
        <w:rPr>
          <w:rFonts w:cs="Times New Roman"/>
        </w:rPr>
        <w:t xml:space="preserve">Daniel Gilbert, Joann S. Lublin &amp; Russell Gold, </w:t>
      </w:r>
      <w:r w:rsidRPr="00DB29EE">
        <w:rPr>
          <w:rFonts w:cs="Times New Roman"/>
          <w:i/>
        </w:rPr>
        <w:t>Chesapeake Overhauls Board</w:t>
      </w:r>
      <w:r w:rsidRPr="009E65A9">
        <w:rPr>
          <w:rFonts w:cs="Times New Roman"/>
        </w:rPr>
        <w:t xml:space="preserve">, </w:t>
      </w:r>
      <w:r w:rsidRPr="002703CC">
        <w:rPr>
          <w:rFonts w:cs="Times New Roman"/>
          <w:smallCaps/>
        </w:rPr>
        <w:t>Wall St. Jour.</w:t>
      </w:r>
      <w:r>
        <w:rPr>
          <w:rFonts w:cs="Times New Roman"/>
          <w:smallCaps/>
        </w:rPr>
        <w:t xml:space="preserve"> </w:t>
      </w:r>
      <w:r w:rsidRPr="009E65A9">
        <w:rPr>
          <w:rFonts w:cs="Times New Roman"/>
        </w:rPr>
        <w:t>at B3</w:t>
      </w:r>
      <w:r>
        <w:rPr>
          <w:rFonts w:cs="Times New Roman"/>
          <w:smallCaps/>
        </w:rPr>
        <w:t xml:space="preserve"> (</w:t>
      </w:r>
      <w:r w:rsidRPr="009E65A9">
        <w:rPr>
          <w:rFonts w:cs="Times New Roman"/>
        </w:rPr>
        <w:t>June 22, 2012</w:t>
      </w:r>
      <w:r>
        <w:rPr>
          <w:rFonts w:cs="Times New Roman"/>
        </w:rPr>
        <w:t>).</w:t>
      </w:r>
      <w:r w:rsidRPr="009E65A9">
        <w:rPr>
          <w:rFonts w:cs="Times New Roman"/>
        </w:rPr>
        <w:t xml:space="preserve"> </w:t>
      </w:r>
    </w:p>
  </w:footnote>
  <w:footnote w:id="52">
    <w:p w:rsidR="000018DD" w:rsidRDefault="000018DD">
      <w:pPr>
        <w:pStyle w:val="FootnoteText"/>
      </w:pPr>
      <w:r>
        <w:rPr>
          <w:rStyle w:val="FootnoteReference"/>
        </w:rPr>
        <w:footnoteRef/>
      </w:r>
      <w:r>
        <w:t xml:space="preserve"> </w:t>
      </w:r>
      <w:r>
        <w:tab/>
      </w:r>
      <w:proofErr w:type="gramStart"/>
      <w:r>
        <w:rPr>
          <w:rFonts w:eastAsia="Times New Roman"/>
        </w:rPr>
        <w:t>2013 OK CIV APP 91.</w:t>
      </w:r>
      <w:proofErr w:type="gramEnd"/>
    </w:p>
  </w:footnote>
  <w:footnote w:id="53">
    <w:p w:rsidR="000018DD" w:rsidRDefault="000018DD">
      <w:pPr>
        <w:pStyle w:val="FootnoteText"/>
      </w:pPr>
      <w:r>
        <w:rPr>
          <w:rStyle w:val="FootnoteReference"/>
        </w:rPr>
        <w:footnoteRef/>
      </w:r>
      <w:r>
        <w:t xml:space="preserve"> </w:t>
      </w:r>
      <w:r>
        <w:tab/>
      </w:r>
      <w:proofErr w:type="gramStart"/>
      <w:r>
        <w:rPr>
          <w:rStyle w:val="Strong"/>
          <w:b w:val="0"/>
          <w:color w:val="000000"/>
          <w:szCs w:val="24"/>
        </w:rPr>
        <w:t>2014 OK CIV APP 11.</w:t>
      </w:r>
      <w:proofErr w:type="gramEnd"/>
    </w:p>
  </w:footnote>
  <w:footnote w:id="54">
    <w:p w:rsidR="000018DD" w:rsidRDefault="000018DD">
      <w:pPr>
        <w:pStyle w:val="FootnoteText"/>
      </w:pPr>
      <w:r>
        <w:rPr>
          <w:rStyle w:val="FootnoteReference"/>
        </w:rPr>
        <w:footnoteRef/>
      </w:r>
      <w:r>
        <w:t xml:space="preserve"> </w:t>
      </w:r>
      <w:r>
        <w:tab/>
        <w:t xml:space="preserve">The appellate decision is a cursory ruling, which attaches the trial court’s more extensive order.  This paper’s discussion follows the order.  Order Sustaining Defendant’s Motion to Dismiss with Leave to Amend, </w:t>
      </w:r>
      <w:r w:rsidRPr="006F4F5B">
        <w:rPr>
          <w:rFonts w:eastAsia="Times New Roman"/>
          <w:i/>
        </w:rPr>
        <w:t>In Re Chesapeake Shareholders Derivative Litigation</w:t>
      </w:r>
      <w:r>
        <w:rPr>
          <w:rFonts w:eastAsia="Times New Roman"/>
        </w:rPr>
        <w:t>,</w:t>
      </w:r>
      <w:r>
        <w:t xml:space="preserve"> Dist. Ct., Okla. </w:t>
      </w:r>
      <w:proofErr w:type="spellStart"/>
      <w:r>
        <w:t>Cnty</w:t>
      </w:r>
      <w:proofErr w:type="spellEnd"/>
      <w:r>
        <w:t>., Okla., CJ-2009-3983 (Feb. 26, 2010) (J. Gray) (the “</w:t>
      </w:r>
      <w:r w:rsidRPr="00691290">
        <w:rPr>
          <w:i/>
        </w:rPr>
        <w:t>Order</w:t>
      </w:r>
      <w:r>
        <w:t xml:space="preserve">”). </w:t>
      </w:r>
    </w:p>
  </w:footnote>
  <w:footnote w:id="55">
    <w:p w:rsidR="000018DD" w:rsidRDefault="000018DD">
      <w:pPr>
        <w:pStyle w:val="FootnoteText"/>
      </w:pPr>
      <w:r>
        <w:rPr>
          <w:rStyle w:val="FootnoteReference"/>
        </w:rPr>
        <w:footnoteRef/>
      </w:r>
      <w:r>
        <w:t xml:space="preserve"> </w:t>
      </w:r>
      <w:r>
        <w:tab/>
        <w:t xml:space="preserve">In October 2008, the Chesapeake stock price had declined and McClendon was forced to sell over 90% of his Chesapeake stock to meet margin calls.  Soon afterwards, the Compensation Committee met and recommended the renegotiation of McClendon’s employment contract, which was affirmed the following day by the Board of Directors.  The contract provided for a $77 million bonus, $20 million in stock awards, and the purchase of McClendon’s art collection for $12 million, which was his cost in the collection.  McClendon would not receive the bonus or sale proceeds outright.  The bonus or sale proceeds would be applied to fund his share of costs in a program, through which he participated in 2.5% of each well that Chesapeake drilled.  The employment contract also contained a “claw-back” provision, in which McClendon must pay back a portion of his compensation, including all of the cash bonus, if he terminated his employment before the end of the five-year term.  </w:t>
      </w:r>
    </w:p>
  </w:footnote>
  <w:footnote w:id="56">
    <w:p w:rsidR="000018DD" w:rsidRDefault="000018DD">
      <w:pPr>
        <w:pStyle w:val="FootnoteText"/>
      </w:pPr>
      <w:r>
        <w:rPr>
          <w:rStyle w:val="FootnoteReference"/>
        </w:rPr>
        <w:footnoteRef/>
      </w:r>
      <w:r>
        <w:t xml:space="preserve"> </w:t>
      </w:r>
      <w:r>
        <w:tab/>
        <w:t>Before disclosure of McClendon’s sale of his stock under the margin calls, three directors –Fred </w:t>
      </w:r>
      <w:proofErr w:type="spellStart"/>
      <w:r>
        <w:t>Whittemore</w:t>
      </w:r>
      <w:proofErr w:type="spellEnd"/>
      <w:r>
        <w:t xml:space="preserve">, Don </w:t>
      </w:r>
      <w:proofErr w:type="spellStart"/>
      <w:r>
        <w:t>Nickles</w:t>
      </w:r>
      <w:proofErr w:type="spellEnd"/>
      <w:r>
        <w:t xml:space="preserve"> and Charles Maxwell – sold $5.2 million of Chesapeake shares.</w:t>
      </w:r>
    </w:p>
  </w:footnote>
  <w:footnote w:id="57">
    <w:p w:rsidR="0061277E" w:rsidRDefault="0061277E">
      <w:pPr>
        <w:pStyle w:val="FootnoteText"/>
      </w:pPr>
      <w:r>
        <w:rPr>
          <w:rStyle w:val="FootnoteReference"/>
        </w:rPr>
        <w:footnoteRef/>
      </w:r>
      <w:r>
        <w:t xml:space="preserve"> </w:t>
      </w:r>
      <w:r>
        <w:tab/>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Pr>
          <w:rFonts w:cs="Times New Roman"/>
        </w:rPr>
        <w:t> 18</w:t>
      </w:r>
      <w:r w:rsidRPr="0005031E">
        <w:rPr>
          <w:rFonts w:cs="Times New Roman"/>
        </w:rPr>
        <w:t>, §</w:t>
      </w:r>
      <w:r>
        <w:rPr>
          <w:rFonts w:cs="Times New Roman"/>
        </w:rPr>
        <w:t>1027.A (</w:t>
      </w:r>
      <w:r w:rsidRPr="0061277E">
        <w:rPr>
          <w:rFonts w:cs="Times New Roman"/>
        </w:rPr>
        <w:t>“</w:t>
      </w:r>
      <w:r w:rsidRPr="0061277E">
        <w:rPr>
          <w:rFonts w:cs="Times New Roman"/>
          <w:shd w:val="clear" w:color="auto" w:fill="FFFFFF"/>
        </w:rPr>
        <w:t xml:space="preserve">The business and affairs of every corporation </w:t>
      </w:r>
      <w:r w:rsidR="00042D5F">
        <w:rPr>
          <w:rFonts w:cs="Times New Roman"/>
          <w:shd w:val="clear" w:color="auto" w:fill="FFFFFF"/>
        </w:rPr>
        <w:t xml:space="preserve">. . . </w:t>
      </w:r>
      <w:r w:rsidRPr="0061277E">
        <w:rPr>
          <w:rFonts w:cs="Times New Roman"/>
          <w:shd w:val="clear" w:color="auto" w:fill="FFFFFF"/>
        </w:rPr>
        <w:t xml:space="preserve">shall be managed by or under the direction of a board of directors </w:t>
      </w:r>
      <w:proofErr w:type="gramStart"/>
      <w:r w:rsidRPr="0061277E">
        <w:rPr>
          <w:rFonts w:cs="Times New Roman"/>
          <w:shd w:val="clear" w:color="auto" w:fill="FFFFFF"/>
        </w:rPr>
        <w:t>. . .</w:t>
      </w:r>
      <w:r w:rsidR="00DE0DAC">
        <w:rPr>
          <w:rFonts w:cs="Times New Roman"/>
          <w:shd w:val="clear" w:color="auto" w:fill="FFFFFF"/>
        </w:rPr>
        <w:t>.</w:t>
      </w:r>
      <w:r w:rsidRPr="0061277E">
        <w:rPr>
          <w:rFonts w:cs="Times New Roman"/>
          <w:shd w:val="clear" w:color="auto" w:fill="FFFFFF"/>
        </w:rPr>
        <w:t>”</w:t>
      </w:r>
      <w:proofErr w:type="gramEnd"/>
      <w:r w:rsidRPr="0061277E">
        <w:rPr>
          <w:rFonts w:cs="Times New Roman"/>
          <w:shd w:val="clear" w:color="auto" w:fill="FFFFFF"/>
        </w:rPr>
        <w:t>).</w:t>
      </w:r>
    </w:p>
  </w:footnote>
  <w:footnote w:id="58">
    <w:p w:rsidR="000018DD" w:rsidRDefault="000018DD">
      <w:pPr>
        <w:pStyle w:val="FootnoteText"/>
      </w:pPr>
      <w:r>
        <w:rPr>
          <w:rStyle w:val="FootnoteReference"/>
        </w:rPr>
        <w:footnoteRef/>
      </w:r>
      <w:r>
        <w:t xml:space="preserve"> </w:t>
      </w:r>
      <w:r>
        <w:tab/>
      </w:r>
      <w:proofErr w:type="gramStart"/>
      <w:r>
        <w:t xml:space="preserve">Order, </w:t>
      </w:r>
      <w:r w:rsidRPr="00F85F4F">
        <w:rPr>
          <w:i/>
        </w:rPr>
        <w:t>supra</w:t>
      </w:r>
      <w:r>
        <w:t xml:space="preserve"> at pg. 3.</w:t>
      </w:r>
      <w:proofErr w:type="gramEnd"/>
    </w:p>
  </w:footnote>
  <w:footnote w:id="59">
    <w:p w:rsidR="000018DD" w:rsidRDefault="000018DD">
      <w:pPr>
        <w:pStyle w:val="FootnoteText"/>
      </w:pPr>
      <w:r>
        <w:rPr>
          <w:rStyle w:val="FootnoteReference"/>
        </w:rPr>
        <w:footnoteRef/>
      </w:r>
      <w:r>
        <w:t xml:space="preserve"> </w:t>
      </w:r>
      <w:r>
        <w:tab/>
      </w:r>
      <w:proofErr w:type="gramStart"/>
      <w:r>
        <w:t>1990 OK 43, 792 P.2d 50 (Okla. 1990).</w:t>
      </w:r>
      <w:proofErr w:type="gramEnd"/>
      <w:r>
        <w:t xml:space="preserve"> </w:t>
      </w:r>
    </w:p>
  </w:footnote>
  <w:footnote w:id="60">
    <w:p w:rsidR="000018DD" w:rsidRDefault="000018DD">
      <w:pPr>
        <w:pStyle w:val="FootnoteText"/>
      </w:pPr>
      <w:r>
        <w:rPr>
          <w:rStyle w:val="FootnoteReference"/>
        </w:rPr>
        <w:footnoteRef/>
      </w:r>
      <w:r>
        <w:t xml:space="preserve"> </w:t>
      </w:r>
      <w:r>
        <w:tab/>
      </w:r>
      <w:r w:rsidRPr="00CB4F61">
        <w:rPr>
          <w:i/>
        </w:rPr>
        <w:t>See gen</w:t>
      </w:r>
      <w:r>
        <w:t xml:space="preserve">. </w:t>
      </w:r>
      <w:proofErr w:type="spellStart"/>
      <w:r w:rsidRPr="00F85F4F">
        <w:t>Rales</w:t>
      </w:r>
      <w:proofErr w:type="spellEnd"/>
      <w:r w:rsidRPr="00F85F4F">
        <w:t xml:space="preserve"> v. </w:t>
      </w:r>
      <w:proofErr w:type="spellStart"/>
      <w:r w:rsidRPr="00F85F4F">
        <w:t>Blasband</w:t>
      </w:r>
      <w:proofErr w:type="spellEnd"/>
      <w:r>
        <w:t>, 634 A.2d 927, 934 (Del. 1993) (Demand is futile when “the particularized factual allegations of a derivative stockholder complaint create a reasonable doubt that, as of the time the complaint is filed, the board of directors could have properly exercised its independent and disinterested business judgment in responding to a demand.”)</w:t>
      </w:r>
    </w:p>
  </w:footnote>
  <w:footnote w:id="61">
    <w:p w:rsidR="000018DD" w:rsidRPr="00112FF2" w:rsidRDefault="000018DD">
      <w:pPr>
        <w:pStyle w:val="FootnoteText"/>
      </w:pPr>
      <w:r>
        <w:rPr>
          <w:rStyle w:val="FootnoteReference"/>
        </w:rPr>
        <w:footnoteRef/>
      </w:r>
      <w:r>
        <w:t xml:space="preserve"> </w:t>
      </w:r>
      <w:r>
        <w:tab/>
      </w:r>
      <w:r w:rsidRPr="00112FF2">
        <w:t xml:space="preserve">Citing </w:t>
      </w:r>
      <w:r w:rsidRPr="00F85F4F">
        <w:t xml:space="preserve">In re Walt Disney Co. Derivative </w:t>
      </w:r>
      <w:proofErr w:type="spellStart"/>
      <w:r w:rsidRPr="00F85F4F">
        <w:t>Litig</w:t>
      </w:r>
      <w:proofErr w:type="spellEnd"/>
      <w:r w:rsidRPr="00112FF2">
        <w:t xml:space="preserve">., 731 A.2d 342 (Del.Ch. 1998), </w:t>
      </w:r>
      <w:proofErr w:type="spellStart"/>
      <w:r w:rsidRPr="00112FF2">
        <w:rPr>
          <w:i/>
        </w:rPr>
        <w:t>aff’d</w:t>
      </w:r>
      <w:proofErr w:type="spellEnd"/>
      <w:r w:rsidRPr="00112FF2">
        <w:rPr>
          <w:i/>
        </w:rPr>
        <w:t xml:space="preserve"> with leave to </w:t>
      </w:r>
      <w:proofErr w:type="spellStart"/>
      <w:r w:rsidRPr="00112FF2">
        <w:rPr>
          <w:i/>
        </w:rPr>
        <w:t>replead</w:t>
      </w:r>
      <w:proofErr w:type="spellEnd"/>
      <w:r w:rsidRPr="00112FF2">
        <w:t xml:space="preserve">, 746 A.2d 244 (Del. 2000); </w:t>
      </w:r>
      <w:r w:rsidRPr="00F85F4F">
        <w:t>Good v. Getty Oil Co</w:t>
      </w:r>
      <w:r w:rsidRPr="00112FF2">
        <w:t>., 514 1104, 1106 (Del.</w:t>
      </w:r>
      <w:r>
        <w:t>C</w:t>
      </w:r>
      <w:r w:rsidRPr="00112FF2">
        <w:t xml:space="preserve">h. 1986); </w:t>
      </w:r>
      <w:r w:rsidRPr="00274826">
        <w:t>Aronson v. Lewis</w:t>
      </w:r>
      <w:r w:rsidRPr="00112FF2">
        <w:t xml:space="preserve">, 473 A.2d 805 (Del.Ch. 1984); </w:t>
      </w:r>
      <w:r w:rsidRPr="00F85F4F">
        <w:rPr>
          <w:i/>
        </w:rPr>
        <w:t>see also</w:t>
      </w:r>
      <w:r w:rsidRPr="00112FF2">
        <w:t xml:space="preserve"> </w:t>
      </w:r>
      <w:r w:rsidRPr="00F85F4F">
        <w:t>Lewis v. Curtis</w:t>
      </w:r>
      <w:r>
        <w:t xml:space="preserve">, </w:t>
      </w:r>
      <w:r w:rsidRPr="00F91193">
        <w:rPr>
          <w:rFonts w:cs="Times New Roman"/>
        </w:rPr>
        <w:t>671 F.2d 779, 785 (3rd Cir. 1982)</w:t>
      </w:r>
      <w:r w:rsidRPr="00112FF2">
        <w:t xml:space="preserve"> </w:t>
      </w:r>
      <w:r>
        <w:t>(“</w:t>
      </w:r>
      <w:r w:rsidRPr="00112FF2">
        <w:t>The majority view is that the mere approval of an allegedly injurious corporate transaction, absent self-interest or bias by a majority of the board, is insufficient to excuse demand.</w:t>
      </w:r>
      <w:r>
        <w:t>”).</w:t>
      </w:r>
    </w:p>
  </w:footnote>
  <w:footnote w:id="62">
    <w:p w:rsidR="000018DD" w:rsidRDefault="000018DD">
      <w:pPr>
        <w:pStyle w:val="FootnoteText"/>
      </w:pPr>
      <w:r>
        <w:rPr>
          <w:rStyle w:val="FootnoteReference"/>
        </w:rPr>
        <w:footnoteRef/>
      </w:r>
      <w:r>
        <w:t xml:space="preserve"> </w:t>
      </w:r>
      <w:r>
        <w:tab/>
      </w:r>
      <w:r w:rsidRPr="00274826">
        <w:rPr>
          <w:rFonts w:cs="Times New Roman"/>
        </w:rPr>
        <w:t>Aronson</w:t>
      </w:r>
      <w:r w:rsidRPr="00E03F10">
        <w:rPr>
          <w:rFonts w:cs="Times New Roman"/>
        </w:rPr>
        <w:t xml:space="preserve">, </w:t>
      </w:r>
      <w:r w:rsidRPr="00E03F10">
        <w:rPr>
          <w:rFonts w:cs="Times New Roman"/>
          <w:i/>
        </w:rPr>
        <w:t>id</w:t>
      </w:r>
      <w:r w:rsidRPr="00E03F10">
        <w:rPr>
          <w:rFonts w:cs="Times New Roman"/>
        </w:rPr>
        <w:t xml:space="preserve"> at 815 (“[T]</w:t>
      </w:r>
      <w:r w:rsidRPr="00E03F10">
        <w:rPr>
          <w:rFonts w:cs="Times New Roman"/>
          <w:shd w:val="clear" w:color="auto" w:fill="FFFFFF"/>
        </w:rPr>
        <w:t>he mere threat of personal liability for approving a questioned transaction, standing alone, is insufficient to challenge either the independence or disinterestedness of directors</w:t>
      </w:r>
      <w:r>
        <w:rPr>
          <w:rFonts w:cs="Times New Roman"/>
          <w:shd w:val="clear" w:color="auto" w:fill="FFFFFF"/>
        </w:rPr>
        <w:t xml:space="preserve"> </w:t>
      </w:r>
      <w:proofErr w:type="gramStart"/>
      <w:r>
        <w:rPr>
          <w:rFonts w:cs="Times New Roman"/>
          <w:shd w:val="clear" w:color="auto" w:fill="FFFFFF"/>
        </w:rPr>
        <w:t>. . ..”</w:t>
      </w:r>
      <w:proofErr w:type="gramEnd"/>
      <w:r w:rsidRPr="00E03F10">
        <w:rPr>
          <w:rFonts w:cs="Times New Roman"/>
          <w:shd w:val="clear" w:color="auto" w:fill="FFFFFF"/>
        </w:rPr>
        <w:t>)</w:t>
      </w:r>
      <w:r>
        <w:t>.</w:t>
      </w:r>
    </w:p>
  </w:footnote>
  <w:footnote w:id="63">
    <w:p w:rsidR="000018DD" w:rsidRDefault="000018DD">
      <w:pPr>
        <w:pStyle w:val="FootnoteText"/>
      </w:pPr>
      <w:r>
        <w:rPr>
          <w:rStyle w:val="FootnoteReference"/>
        </w:rPr>
        <w:footnoteRef/>
      </w:r>
      <w:r>
        <w:t xml:space="preserve"> </w:t>
      </w:r>
      <w:r>
        <w:tab/>
      </w:r>
      <w:proofErr w:type="gramStart"/>
      <w:r>
        <w:t xml:space="preserve">Order, </w:t>
      </w:r>
      <w:r w:rsidRPr="00F85F4F">
        <w:rPr>
          <w:i/>
        </w:rPr>
        <w:t>supra</w:t>
      </w:r>
      <w:r>
        <w:t xml:space="preserve"> at pg. 4.</w:t>
      </w:r>
      <w:proofErr w:type="gramEnd"/>
      <w:r>
        <w:t xml:space="preserve"> </w:t>
      </w:r>
    </w:p>
  </w:footnote>
  <w:footnote w:id="64">
    <w:p w:rsidR="000018DD" w:rsidRDefault="000018DD">
      <w:pPr>
        <w:pStyle w:val="FootnoteText"/>
      </w:pPr>
      <w:r>
        <w:rPr>
          <w:rStyle w:val="FootnoteReference"/>
        </w:rPr>
        <w:footnoteRef/>
      </w:r>
      <w:r>
        <w:t xml:space="preserve"> </w:t>
      </w:r>
      <w:r>
        <w:tab/>
        <w:t xml:space="preserve">Plaintiffs alleged various ties between the independent directors and McClendon that impaired their ability to exercise independent judgment.  </w:t>
      </w:r>
    </w:p>
  </w:footnote>
  <w:footnote w:id="65">
    <w:p w:rsidR="000018DD" w:rsidRDefault="000018DD">
      <w:pPr>
        <w:pStyle w:val="FootnoteText"/>
      </w:pPr>
      <w:r>
        <w:rPr>
          <w:rStyle w:val="FootnoteReference"/>
        </w:rPr>
        <w:footnoteRef/>
      </w:r>
      <w:r>
        <w:t xml:space="preserve"> </w:t>
      </w:r>
      <w:r>
        <w:tab/>
      </w:r>
      <w:r w:rsidRPr="00B25BC7">
        <w:rPr>
          <w:i/>
        </w:rPr>
        <w:t>Hargrave</w:t>
      </w:r>
      <w:r>
        <w:t xml:space="preserve"> can be a paradox.  For an exposition of the law, it relies heavily on the two </w:t>
      </w:r>
      <w:r w:rsidRPr="008B6424">
        <w:rPr>
          <w:i/>
        </w:rPr>
        <w:t>Lewis</w:t>
      </w:r>
      <w:r>
        <w:t xml:space="preserve"> cases, which require more than mere approval of the transaction complained of to excuse demand.  Yet if </w:t>
      </w:r>
      <w:r w:rsidRPr="008B6424">
        <w:rPr>
          <w:i/>
        </w:rPr>
        <w:t>Hargrave</w:t>
      </w:r>
      <w:r>
        <w:t xml:space="preserve"> meant to follow those cases, it misapplies the law.  The Court writes, “It was the trustees . . . who negotiated the contract.  It was the trustees who allowed the contract to proceed unaltered . </w:t>
      </w:r>
      <w:proofErr w:type="gramStart"/>
      <w:r>
        <w:t>. ..</w:t>
      </w:r>
      <w:proofErr w:type="gramEnd"/>
      <w:r>
        <w:t xml:space="preserve"> We cannot agree that a [demand] would have prodded the trustees to action.  They were not disinterested parties, but were directly involved in the transaction.”  </w:t>
      </w:r>
      <w:proofErr w:type="gramStart"/>
      <w:r w:rsidRPr="004667EF">
        <w:rPr>
          <w:i/>
        </w:rPr>
        <w:t>Hargrave</w:t>
      </w:r>
      <w:r>
        <w:t xml:space="preserve">, at </w:t>
      </w:r>
      <w:r>
        <w:rPr>
          <w:rFonts w:cs="Times New Roman"/>
        </w:rPr>
        <w:t>¶</w:t>
      </w:r>
      <w:r>
        <w:t>13.</w:t>
      </w:r>
      <w:proofErr w:type="gramEnd"/>
      <w:r>
        <w:t xml:space="preserve">  The Court cites no personal financial or business interest affecting the trustees.  It cites no conflict of interest between the Canadian Valley trustees and the power supplier.  There is no evidence of the type of self-interest or bias that would have excused demand under the two </w:t>
      </w:r>
      <w:r w:rsidRPr="008B6424">
        <w:rPr>
          <w:i/>
        </w:rPr>
        <w:t>Lewis</w:t>
      </w:r>
      <w:r>
        <w:t xml:space="preserve"> cases or majority position standard.  </w:t>
      </w:r>
    </w:p>
  </w:footnote>
  <w:footnote w:id="66">
    <w:p w:rsidR="000018DD" w:rsidRDefault="000018DD">
      <w:pPr>
        <w:pStyle w:val="FootnoteText"/>
      </w:pPr>
      <w:r>
        <w:rPr>
          <w:rStyle w:val="FootnoteReference"/>
        </w:rPr>
        <w:footnoteRef/>
      </w:r>
      <w:r>
        <w:t xml:space="preserve"> </w:t>
      </w:r>
      <w:r>
        <w:tab/>
      </w:r>
      <w:r w:rsidRPr="00F91193">
        <w:rPr>
          <w:rFonts w:cs="Times New Roman"/>
        </w:rPr>
        <w:t>671 F.2d 779, 785 (3rd Cir. 1982)</w:t>
      </w:r>
      <w:r>
        <w:rPr>
          <w:rFonts w:cs="Times New Roman"/>
        </w:rPr>
        <w:t>,</w:t>
      </w:r>
      <w:r w:rsidRPr="00F91193">
        <w:rPr>
          <w:rFonts w:cs="Times New Roman"/>
        </w:rPr>
        <w:t xml:space="preserve"> cert. denied,</w:t>
      </w:r>
      <w:r>
        <w:rPr>
          <w:rFonts w:cs="Times New Roman"/>
        </w:rPr>
        <w:t xml:space="preserve"> </w:t>
      </w:r>
      <w:r w:rsidRPr="00F91193">
        <w:rPr>
          <w:rFonts w:cs="Times New Roman"/>
        </w:rPr>
        <w:t xml:space="preserve">459 U.S. 880, 103 </w:t>
      </w:r>
      <w:proofErr w:type="spellStart"/>
      <w:r w:rsidRPr="00F91193">
        <w:rPr>
          <w:rFonts w:cs="Times New Roman"/>
        </w:rPr>
        <w:t>S.Ct</w:t>
      </w:r>
      <w:proofErr w:type="spellEnd"/>
      <w:r w:rsidRPr="00F91193">
        <w:rPr>
          <w:rFonts w:cs="Times New Roman"/>
        </w:rPr>
        <w:t>. 176, 74 L.Ed.2d 144 (1982).</w:t>
      </w:r>
    </w:p>
  </w:footnote>
  <w:footnote w:id="67">
    <w:p w:rsidR="000018DD" w:rsidRPr="004B1FFD" w:rsidRDefault="000018DD">
      <w:pPr>
        <w:pStyle w:val="FootnoteText"/>
        <w:rPr>
          <w:rFonts w:cs="Times New Roman"/>
        </w:rPr>
      </w:pPr>
      <w:r>
        <w:rPr>
          <w:rStyle w:val="FootnoteReference"/>
        </w:rPr>
        <w:footnoteRef/>
      </w:r>
      <w:r>
        <w:t xml:space="preserve"> </w:t>
      </w:r>
      <w:r>
        <w:tab/>
      </w:r>
      <w:proofErr w:type="gramStart"/>
      <w:r w:rsidRPr="004B1FFD">
        <w:rPr>
          <w:rFonts w:cs="Times New Roman"/>
          <w:color w:val="000000"/>
        </w:rPr>
        <w:t>701 F.2d 245, 248 (2nd Cir. 1983).</w:t>
      </w:r>
      <w:proofErr w:type="gramEnd"/>
    </w:p>
  </w:footnote>
  <w:footnote w:id="68">
    <w:p w:rsidR="000018DD" w:rsidRPr="004B1FFD" w:rsidRDefault="000018DD">
      <w:pPr>
        <w:pStyle w:val="FootnoteText"/>
      </w:pPr>
      <w:r>
        <w:rPr>
          <w:rStyle w:val="FootnoteReference"/>
        </w:rPr>
        <w:footnoteRef/>
      </w:r>
      <w:r>
        <w:t xml:space="preserve"> </w:t>
      </w:r>
      <w:r>
        <w:tab/>
      </w:r>
      <w:r w:rsidRPr="008C7169">
        <w:t>Lewis v. Curtis</w:t>
      </w:r>
      <w:r>
        <w:t xml:space="preserve">, </w:t>
      </w:r>
      <w:r w:rsidRPr="008C7169">
        <w:rPr>
          <w:i/>
        </w:rPr>
        <w:t>supra</w:t>
      </w:r>
      <w:r w:rsidRPr="004B1FFD">
        <w:t xml:space="preserve"> </w:t>
      </w:r>
      <w:r>
        <w:t xml:space="preserve">at 785 </w:t>
      </w:r>
      <w:r w:rsidRPr="004B1FFD">
        <w:t>(</w:t>
      </w:r>
      <w:r>
        <w:t>“</w:t>
      </w:r>
      <w:r w:rsidRPr="004B1FFD">
        <w:t>The complaint here alleges that, not only did all the directors participate in and approve of the challenged activity, but the challenged activity is a self-interested transaction</w:t>
      </w:r>
      <w:r>
        <w:t>”</w:t>
      </w:r>
      <w:r w:rsidRPr="004B1FFD">
        <w:t xml:space="preserve">); </w:t>
      </w:r>
      <w:r w:rsidRPr="008C7169">
        <w:t>Lewis v. Graves,</w:t>
      </w:r>
      <w:r>
        <w:t xml:space="preserve"> </w:t>
      </w:r>
      <w:r w:rsidRPr="008C7169">
        <w:rPr>
          <w:i/>
        </w:rPr>
        <w:t>supra</w:t>
      </w:r>
      <w:r w:rsidRPr="004B1FFD">
        <w:t xml:space="preserve"> </w:t>
      </w:r>
      <w:r>
        <w:t xml:space="preserve">at 248 </w:t>
      </w:r>
      <w:r w:rsidRPr="004B1FFD">
        <w:t>(</w:t>
      </w:r>
      <w:r>
        <w:t>“</w:t>
      </w:r>
      <w:r w:rsidRPr="004B1FFD">
        <w:rPr>
          <w:color w:val="333333"/>
          <w:shd w:val="clear" w:color="auto" w:fill="FFFFFF"/>
        </w:rPr>
        <w:t>We agree with the district court, however, that absent specific allegations of self-dealing or bias on the part of a majority of the board, mere approval and acquiescence are insufficient to render demand futile</w:t>
      </w:r>
      <w:r>
        <w:rPr>
          <w:color w:val="333333"/>
          <w:shd w:val="clear" w:color="auto" w:fill="FFFFFF"/>
        </w:rPr>
        <w:t>”</w:t>
      </w:r>
      <w:r w:rsidRPr="004B1FFD">
        <w:t>)</w:t>
      </w:r>
      <w:r>
        <w:t>.</w:t>
      </w:r>
      <w:r w:rsidRPr="004B1FFD">
        <w:t xml:space="preserve"> </w:t>
      </w:r>
    </w:p>
  </w:footnote>
  <w:footnote w:id="69">
    <w:p w:rsidR="000018DD" w:rsidRDefault="000018DD">
      <w:pPr>
        <w:pStyle w:val="FootnoteText"/>
      </w:pPr>
      <w:r>
        <w:rPr>
          <w:rStyle w:val="FootnoteReference"/>
        </w:rPr>
        <w:footnoteRef/>
      </w:r>
      <w:r>
        <w:t xml:space="preserve"> </w:t>
      </w:r>
      <w:r>
        <w:tab/>
        <w:t xml:space="preserve">The </w:t>
      </w:r>
      <w:r w:rsidRPr="008B6424">
        <w:rPr>
          <w:i/>
        </w:rPr>
        <w:t>Hargrave</w:t>
      </w:r>
      <w:r>
        <w:t xml:space="preserve"> opinion cites to </w:t>
      </w:r>
      <w:r w:rsidRPr="004B1FFD">
        <w:t>the</w:t>
      </w:r>
      <w:r>
        <w:t xml:space="preserve"> </w:t>
      </w:r>
      <w:r w:rsidRPr="004B1FFD">
        <w:t xml:space="preserve">two </w:t>
      </w:r>
      <w:r w:rsidRPr="004A3584">
        <w:rPr>
          <w:i/>
        </w:rPr>
        <w:t>Lewis</w:t>
      </w:r>
      <w:r>
        <w:t xml:space="preserve"> </w:t>
      </w:r>
      <w:r w:rsidRPr="004B1FFD">
        <w:t>cases</w:t>
      </w:r>
      <w:r>
        <w:rPr>
          <w:i/>
        </w:rPr>
        <w:t xml:space="preserve"> </w:t>
      </w:r>
      <w:r>
        <w:t xml:space="preserve">no fewer than seven times and the trial court’s order footnotes </w:t>
      </w:r>
      <w:r w:rsidRPr="00F91193">
        <w:rPr>
          <w:i/>
        </w:rPr>
        <w:t>Lewis</w:t>
      </w:r>
      <w:r>
        <w:rPr>
          <w:i/>
        </w:rPr>
        <w:t xml:space="preserve"> v Curtis</w:t>
      </w:r>
      <w:r>
        <w:t xml:space="preserve"> as “thoroughly [discussing] the approaches different jurisdictions use in determining whether demand is futile.”  </w:t>
      </w:r>
      <w:proofErr w:type="gramStart"/>
      <w:r>
        <w:t xml:space="preserve">Order, </w:t>
      </w:r>
      <w:r w:rsidRPr="001108EF">
        <w:rPr>
          <w:i/>
        </w:rPr>
        <w:t>supra</w:t>
      </w:r>
      <w:r>
        <w:t xml:space="preserve"> at fn. 8.</w:t>
      </w:r>
      <w:proofErr w:type="gramEnd"/>
      <w:r>
        <w:t xml:space="preserve">  The reliance on these cases suggests judicial support for their adoption.  </w:t>
      </w:r>
    </w:p>
  </w:footnote>
  <w:footnote w:id="70">
    <w:p w:rsidR="000018DD" w:rsidRDefault="000018DD">
      <w:pPr>
        <w:pStyle w:val="FootnoteText"/>
      </w:pPr>
      <w:r>
        <w:rPr>
          <w:rStyle w:val="FootnoteReference"/>
        </w:rPr>
        <w:footnoteRef/>
      </w:r>
      <w:r>
        <w:t xml:space="preserve"> </w:t>
      </w:r>
      <w:r>
        <w:tab/>
      </w:r>
      <w:proofErr w:type="gramStart"/>
      <w:r w:rsidRPr="005C48F3">
        <w:rPr>
          <w:i/>
        </w:rPr>
        <w:t>Supra</w:t>
      </w:r>
      <w:r>
        <w:t xml:space="preserve"> at </w:t>
      </w:r>
      <w:r>
        <w:rPr>
          <w:rFonts w:cs="Times New Roman"/>
        </w:rPr>
        <w:t>¶</w:t>
      </w:r>
      <w:r>
        <w:t>4.</w:t>
      </w:r>
      <w:proofErr w:type="gramEnd"/>
      <w:r>
        <w:t xml:space="preserve">  The Delaware courts no longer defer to the trial court’s discretion in reviewing demand futility cases.  In </w:t>
      </w:r>
      <w:proofErr w:type="spellStart"/>
      <w:r w:rsidRPr="00CC3D2E">
        <w:rPr>
          <w:i/>
        </w:rPr>
        <w:t>Brehm</w:t>
      </w:r>
      <w:proofErr w:type="spellEnd"/>
      <w:r w:rsidRPr="00CC3D2E">
        <w:rPr>
          <w:i/>
        </w:rPr>
        <w:t xml:space="preserve"> v. Eisner</w:t>
      </w:r>
      <w:r>
        <w:t xml:space="preserve">, 746 A.2d 244, 253-54 (Del. 2000), the Delaware Supreme Court overruled seven precedents, including </w:t>
      </w:r>
      <w:r w:rsidRPr="00782549">
        <w:rPr>
          <w:i/>
        </w:rPr>
        <w:t>Aronson</w:t>
      </w:r>
      <w:r>
        <w:t>, to the extent those precedents reviewed a shareholder derivative demand or pleading decision by the lower court under an abuse of discretion standard or otherwise suggested deferential appellate review.</w:t>
      </w:r>
    </w:p>
  </w:footnote>
  <w:footnote w:id="71">
    <w:p w:rsidR="000018DD" w:rsidRDefault="000018DD">
      <w:pPr>
        <w:pStyle w:val="FootnoteText"/>
      </w:pPr>
      <w:r>
        <w:rPr>
          <w:rStyle w:val="FootnoteReference"/>
        </w:rPr>
        <w:footnoteRef/>
      </w:r>
      <w:r>
        <w:t xml:space="preserve"> </w:t>
      </w:r>
      <w:r>
        <w:tab/>
      </w:r>
      <w:proofErr w:type="gramStart"/>
      <w:r w:rsidRPr="005C48F3">
        <w:rPr>
          <w:i/>
        </w:rPr>
        <w:t>Id</w:t>
      </w:r>
      <w:r>
        <w:t xml:space="preserve">. at </w:t>
      </w:r>
      <w:r>
        <w:rPr>
          <w:rFonts w:cs="Times New Roman"/>
        </w:rPr>
        <w:t>¶5.</w:t>
      </w:r>
      <w:proofErr w:type="gramEnd"/>
    </w:p>
  </w:footnote>
  <w:footnote w:id="72">
    <w:p w:rsidR="000018DD" w:rsidRDefault="000018DD">
      <w:pPr>
        <w:pStyle w:val="FootnoteText"/>
      </w:pPr>
      <w:r>
        <w:rPr>
          <w:rStyle w:val="FootnoteReference"/>
        </w:rPr>
        <w:footnoteRef/>
      </w:r>
      <w:r>
        <w:t xml:space="preserve"> </w:t>
      </w:r>
      <w:r>
        <w:tab/>
      </w:r>
      <w:r w:rsidRPr="005C48F3">
        <w:rPr>
          <w:i/>
        </w:rPr>
        <w:t>Id</w:t>
      </w:r>
      <w:r>
        <w:t xml:space="preserve">. </w:t>
      </w:r>
    </w:p>
  </w:footnote>
  <w:footnote w:id="73">
    <w:p w:rsidR="000018DD" w:rsidRDefault="000018DD">
      <w:pPr>
        <w:pStyle w:val="FootnoteText"/>
      </w:pPr>
      <w:r>
        <w:rPr>
          <w:rStyle w:val="FootnoteReference"/>
        </w:rPr>
        <w:footnoteRef/>
      </w:r>
      <w:r>
        <w:t xml:space="preserve"> </w:t>
      </w:r>
      <w:r>
        <w:tab/>
      </w:r>
      <w:proofErr w:type="gramStart"/>
      <w:r>
        <w:rPr>
          <w:rStyle w:val="Strong"/>
          <w:b w:val="0"/>
          <w:color w:val="000000"/>
          <w:szCs w:val="24"/>
        </w:rPr>
        <w:t>2014 OK CIV APP 11.</w:t>
      </w:r>
      <w:proofErr w:type="gramEnd"/>
    </w:p>
  </w:footnote>
  <w:footnote w:id="74">
    <w:p w:rsidR="000018DD" w:rsidRDefault="000018DD">
      <w:pPr>
        <w:pStyle w:val="FootnoteText"/>
      </w:pPr>
      <w:r>
        <w:rPr>
          <w:rStyle w:val="FootnoteReference"/>
        </w:rPr>
        <w:footnoteRef/>
      </w:r>
      <w:r>
        <w:t xml:space="preserve"> </w:t>
      </w:r>
      <w:r>
        <w:tab/>
      </w:r>
      <w:proofErr w:type="gramStart"/>
      <w:r w:rsidRPr="00087DD2">
        <w:rPr>
          <w:i/>
        </w:rPr>
        <w:t>Id</w:t>
      </w:r>
      <w:r>
        <w:t xml:space="preserve">. at </w:t>
      </w:r>
      <w:r>
        <w:rPr>
          <w:rFonts w:cs="Times New Roman"/>
        </w:rPr>
        <w:t>¶</w:t>
      </w:r>
      <w:r>
        <w:t>9.</w:t>
      </w:r>
      <w:proofErr w:type="gramEnd"/>
    </w:p>
  </w:footnote>
  <w:footnote w:id="75">
    <w:p w:rsidR="000018DD" w:rsidRDefault="000018DD">
      <w:pPr>
        <w:pStyle w:val="FootnoteText"/>
      </w:pPr>
      <w:r>
        <w:rPr>
          <w:rStyle w:val="FootnoteReference"/>
        </w:rPr>
        <w:footnoteRef/>
      </w:r>
      <w:r>
        <w:t xml:space="preserve"> </w:t>
      </w:r>
      <w:r>
        <w:tab/>
      </w:r>
      <w:proofErr w:type="gramStart"/>
      <w:r w:rsidRPr="00836025">
        <w:rPr>
          <w:i/>
        </w:rPr>
        <w:t>Id</w:t>
      </w:r>
      <w:r>
        <w:t xml:space="preserve">. at </w:t>
      </w:r>
      <w:r>
        <w:rPr>
          <w:rFonts w:cs="Times New Roman"/>
        </w:rPr>
        <w:t>¶8, q</w:t>
      </w:r>
      <w:r>
        <w:t xml:space="preserve">uoting from </w:t>
      </w:r>
      <w:r w:rsidRPr="00125C26">
        <w:t>Beard v. Love</w:t>
      </w:r>
      <w:r>
        <w:t>, 2007 OK CIV APP 118.</w:t>
      </w:r>
      <w:proofErr w:type="gramEnd"/>
      <w:r>
        <w:t xml:space="preserve">  </w:t>
      </w:r>
    </w:p>
  </w:footnote>
  <w:footnote w:id="76">
    <w:p w:rsidR="000018DD" w:rsidRDefault="000018DD">
      <w:pPr>
        <w:pStyle w:val="FootnoteText"/>
      </w:pPr>
      <w:r>
        <w:rPr>
          <w:rStyle w:val="FootnoteReference"/>
        </w:rPr>
        <w:footnoteRef/>
      </w:r>
      <w:r>
        <w:t xml:space="preserve"> </w:t>
      </w:r>
      <w:r>
        <w:tab/>
      </w:r>
      <w:proofErr w:type="gramStart"/>
      <w:r w:rsidRPr="00836025">
        <w:rPr>
          <w:i/>
        </w:rPr>
        <w:t>Id</w:t>
      </w:r>
      <w:r>
        <w:t xml:space="preserve">. </w:t>
      </w:r>
      <w:r>
        <w:rPr>
          <w:rFonts w:cs="Times New Roman"/>
        </w:rPr>
        <w:t>q</w:t>
      </w:r>
      <w:r>
        <w:t xml:space="preserve">uoting from </w:t>
      </w:r>
      <w:r w:rsidRPr="00125C26">
        <w:t>Kurtz v. Clark</w:t>
      </w:r>
      <w:r w:rsidRPr="00836025">
        <w:t xml:space="preserve">, </w:t>
      </w:r>
      <w:r>
        <w:t>2012 OK CIV APP 103.</w:t>
      </w:r>
      <w:proofErr w:type="gramEnd"/>
      <w:r>
        <w:t xml:space="preserve">  </w:t>
      </w:r>
    </w:p>
  </w:footnote>
  <w:footnote w:id="77">
    <w:p w:rsidR="000018DD" w:rsidRDefault="000018DD" w:rsidP="0071137B">
      <w:pPr>
        <w:pStyle w:val="FootnoteText"/>
      </w:pPr>
      <w:r>
        <w:rPr>
          <w:rStyle w:val="FootnoteReference"/>
        </w:rPr>
        <w:footnoteRef/>
      </w:r>
      <w:r>
        <w:t xml:space="preserve"> </w:t>
      </w:r>
      <w:r>
        <w:tab/>
        <w:t xml:space="preserve">A board’s independence is not usually reviewed when demand is refused because the act of making demand acknowledges the board’s ability to act with independence.  If some directors are tainted by the alleged misconduct, the board may excuse those directors from deliberations or appoint a special committee comprised solely of independent directors to deal with the demand.  If the board were incapable of acting independently, demand would be excuse as futile.  </w:t>
      </w:r>
      <w:r w:rsidRPr="00593993">
        <w:rPr>
          <w:i/>
        </w:rPr>
        <w:t xml:space="preserve">See </w:t>
      </w:r>
      <w:r w:rsidRPr="00125C26">
        <w:t xml:space="preserve">Spiegel v. </w:t>
      </w:r>
      <w:proofErr w:type="spellStart"/>
      <w:r w:rsidRPr="00125C26">
        <w:t>Buntrock</w:t>
      </w:r>
      <w:proofErr w:type="spellEnd"/>
      <w:r>
        <w:t xml:space="preserve">, 571 A.2d 767, </w:t>
      </w:r>
      <w:proofErr w:type="gramStart"/>
      <w:r>
        <w:t>(</w:t>
      </w:r>
      <w:proofErr w:type="gramEnd"/>
      <w:r>
        <w:t xml:space="preserve">Del. 1990) (cited by </w:t>
      </w:r>
      <w:proofErr w:type="spellStart"/>
      <w:r w:rsidRPr="00125C26">
        <w:t>Egleston</w:t>
      </w:r>
      <w:proofErr w:type="spellEnd"/>
      <w:r>
        <w:t xml:space="preserve"> at </w:t>
      </w:r>
      <w:r>
        <w:rPr>
          <w:rFonts w:cs="Times New Roman"/>
        </w:rPr>
        <w:t>¶8</w:t>
      </w:r>
      <w:r>
        <w:t>).</w:t>
      </w:r>
    </w:p>
  </w:footnote>
  <w:footnote w:id="78">
    <w:p w:rsidR="000018DD" w:rsidRDefault="000018DD">
      <w:pPr>
        <w:pStyle w:val="FootnoteText"/>
      </w:pPr>
      <w:r>
        <w:rPr>
          <w:rStyle w:val="FootnoteReference"/>
        </w:rPr>
        <w:footnoteRef/>
      </w:r>
      <w:r>
        <w:t xml:space="preserve"> </w:t>
      </w:r>
      <w:r>
        <w:tab/>
      </w:r>
      <w:r w:rsidRPr="00125C26">
        <w:rPr>
          <w:i/>
        </w:rPr>
        <w:t>Citing</w:t>
      </w:r>
      <w:r>
        <w:t xml:space="preserve"> </w:t>
      </w:r>
      <w:proofErr w:type="spellStart"/>
      <w:r w:rsidRPr="00125C26">
        <w:t>Brehm</w:t>
      </w:r>
      <w:proofErr w:type="spellEnd"/>
      <w:r w:rsidRPr="00125C26">
        <w:t xml:space="preserve"> v. Eisner</w:t>
      </w:r>
      <w:r>
        <w:t>, 746 A.2d 244, 263 (Del. 2000) (footnotes omitted).</w:t>
      </w:r>
    </w:p>
  </w:footnote>
  <w:footnote w:id="79">
    <w:p w:rsidR="000018DD" w:rsidRDefault="000018DD">
      <w:pPr>
        <w:pStyle w:val="FootnoteText"/>
      </w:pPr>
      <w:r>
        <w:rPr>
          <w:rStyle w:val="FootnoteReference"/>
        </w:rPr>
        <w:footnoteRef/>
      </w:r>
      <w:r>
        <w:t xml:space="preserve"> </w:t>
      </w:r>
      <w:r>
        <w:tab/>
      </w:r>
      <w:r w:rsidRPr="00836025">
        <w:rPr>
          <w:i/>
        </w:rPr>
        <w:t>Id</w:t>
      </w:r>
      <w:r>
        <w:t xml:space="preserve">. at </w:t>
      </w:r>
      <w:r>
        <w:rPr>
          <w:rFonts w:cs="Times New Roman"/>
        </w:rPr>
        <w:t>¶15, q</w:t>
      </w:r>
      <w:r>
        <w:t xml:space="preserve">uoting from </w:t>
      </w:r>
      <w:r w:rsidRPr="00125C26">
        <w:t>In re Walt Disney Derivative Litigation</w:t>
      </w:r>
      <w:r>
        <w:t xml:space="preserve">, 906 A.2d 27, 74 (Del. 2006) (quoting from </w:t>
      </w:r>
      <w:r w:rsidRPr="00125C26">
        <w:t xml:space="preserve">Sinclair Oil Corp. v. </w:t>
      </w:r>
      <w:proofErr w:type="spellStart"/>
      <w:r w:rsidRPr="00125C26">
        <w:t>Levien</w:t>
      </w:r>
      <w:proofErr w:type="spellEnd"/>
      <w:r>
        <w:t xml:space="preserve">, 280 A.2d 717, 720 (Del. 1971). </w:t>
      </w:r>
    </w:p>
  </w:footnote>
  <w:footnote w:id="80">
    <w:p w:rsidR="000018DD" w:rsidRDefault="000018DD">
      <w:pPr>
        <w:pStyle w:val="FootnoteText"/>
      </w:pPr>
      <w:r>
        <w:rPr>
          <w:rStyle w:val="FootnoteReference"/>
        </w:rPr>
        <w:footnoteRef/>
      </w:r>
      <w:r>
        <w:t xml:space="preserve"> </w:t>
      </w:r>
      <w:r>
        <w:tab/>
      </w:r>
      <w:r w:rsidRPr="00836025">
        <w:rPr>
          <w:i/>
        </w:rPr>
        <w:t>Id</w:t>
      </w:r>
      <w:r>
        <w:t xml:space="preserve">. at </w:t>
      </w:r>
      <w:r>
        <w:rPr>
          <w:rFonts w:cs="Times New Roman"/>
        </w:rPr>
        <w:t>¶16, q</w:t>
      </w:r>
      <w:r>
        <w:t xml:space="preserve">uoting from </w:t>
      </w:r>
      <w:proofErr w:type="spellStart"/>
      <w:r>
        <w:t>Rales</w:t>
      </w:r>
      <w:proofErr w:type="spellEnd"/>
      <w:r>
        <w:t xml:space="preserve"> v. </w:t>
      </w:r>
      <w:proofErr w:type="spellStart"/>
      <w:r>
        <w:t>Blasband</w:t>
      </w:r>
      <w:proofErr w:type="spellEnd"/>
      <w:r>
        <w:t xml:space="preserve">, 634 A.2d 927, 936 (Del. 1993). </w:t>
      </w:r>
    </w:p>
  </w:footnote>
  <w:footnote w:id="81">
    <w:p w:rsidR="000018DD" w:rsidRDefault="000018DD">
      <w:pPr>
        <w:pStyle w:val="FootnoteText"/>
      </w:pPr>
      <w:r>
        <w:rPr>
          <w:rStyle w:val="FootnoteReference"/>
        </w:rPr>
        <w:footnoteRef/>
      </w:r>
      <w:r>
        <w:t xml:space="preserve"> </w:t>
      </w:r>
      <w:r>
        <w:tab/>
      </w:r>
      <w:proofErr w:type="gramStart"/>
      <w:r w:rsidRPr="00836025">
        <w:rPr>
          <w:i/>
        </w:rPr>
        <w:t>Id</w:t>
      </w:r>
      <w:r>
        <w:t xml:space="preserve">. at </w:t>
      </w:r>
      <w:r>
        <w:rPr>
          <w:rFonts w:cs="Times New Roman"/>
        </w:rPr>
        <w:t>¶12.</w:t>
      </w:r>
      <w:proofErr w:type="gramEnd"/>
    </w:p>
  </w:footnote>
  <w:footnote w:id="82">
    <w:p w:rsidR="000018DD" w:rsidRDefault="000018DD">
      <w:pPr>
        <w:pStyle w:val="FootnoteText"/>
      </w:pPr>
      <w:r>
        <w:rPr>
          <w:rStyle w:val="FootnoteReference"/>
        </w:rPr>
        <w:footnoteRef/>
      </w:r>
      <w:r>
        <w:t xml:space="preserve"> </w:t>
      </w:r>
      <w:r>
        <w:tab/>
      </w:r>
      <w:proofErr w:type="gramStart"/>
      <w:r w:rsidRPr="00836025">
        <w:rPr>
          <w:i/>
        </w:rPr>
        <w:t>Id</w:t>
      </w:r>
      <w:r>
        <w:t xml:space="preserve">. at </w:t>
      </w:r>
      <w:r>
        <w:rPr>
          <w:rFonts w:cs="Times New Roman"/>
        </w:rPr>
        <w:t>¶13.</w:t>
      </w:r>
      <w:proofErr w:type="gramEnd"/>
    </w:p>
  </w:footnote>
  <w:footnote w:id="83">
    <w:p w:rsidR="000018DD" w:rsidRDefault="000018DD">
      <w:pPr>
        <w:pStyle w:val="FootnoteText"/>
      </w:pPr>
      <w:r>
        <w:rPr>
          <w:rStyle w:val="FootnoteReference"/>
        </w:rPr>
        <w:footnoteRef/>
      </w:r>
      <w:r>
        <w:t xml:space="preserve"> </w:t>
      </w:r>
      <w:r>
        <w:tab/>
      </w:r>
      <w:proofErr w:type="gramStart"/>
      <w:r w:rsidRPr="00836025">
        <w:rPr>
          <w:i/>
        </w:rPr>
        <w:t>Id</w:t>
      </w:r>
      <w:r>
        <w:t xml:space="preserve">. at </w:t>
      </w:r>
      <w:r>
        <w:rPr>
          <w:rFonts w:cs="Times New Roman"/>
        </w:rPr>
        <w:t>¶18.</w:t>
      </w:r>
      <w:proofErr w:type="gramEnd"/>
    </w:p>
  </w:footnote>
  <w:footnote w:id="84">
    <w:p w:rsidR="000018DD" w:rsidRDefault="000018DD">
      <w:pPr>
        <w:pStyle w:val="FootnoteText"/>
      </w:pPr>
      <w:r>
        <w:rPr>
          <w:rStyle w:val="FootnoteReference"/>
        </w:rPr>
        <w:footnoteRef/>
      </w:r>
      <w:r>
        <w:t xml:space="preserve"> </w:t>
      </w:r>
      <w:r>
        <w:tab/>
      </w:r>
      <w:r w:rsidRPr="00D12593">
        <w:rPr>
          <w:rStyle w:val="Strong"/>
          <w:b w:val="0"/>
          <w:color w:val="000000"/>
          <w:szCs w:val="24"/>
        </w:rPr>
        <w:t>2013 OK CIV APP 87, 313 P.3d 289</w:t>
      </w:r>
      <w:r>
        <w:rPr>
          <w:rStyle w:val="Strong"/>
          <w:b w:val="0"/>
          <w:color w:val="000000"/>
          <w:szCs w:val="24"/>
        </w:rPr>
        <w:t xml:space="preserve">. </w:t>
      </w:r>
    </w:p>
  </w:footnote>
  <w:footnote w:id="85">
    <w:p w:rsidR="000018DD" w:rsidRDefault="000018DD">
      <w:pPr>
        <w:pStyle w:val="FootnoteText"/>
      </w:pPr>
      <w:r>
        <w:rPr>
          <w:rStyle w:val="FootnoteReference"/>
        </w:rPr>
        <w:footnoteRef/>
      </w:r>
      <w:r>
        <w:t xml:space="preserve"> </w:t>
      </w:r>
      <w:r>
        <w:tab/>
        <w:t xml:space="preserve">The rules for general and limited partnerships are the same as those for LLCs.  </w:t>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Pr>
          <w:rFonts w:cs="Times New Roman"/>
        </w:rPr>
        <w:t> 54</w:t>
      </w:r>
      <w:r w:rsidRPr="0005031E">
        <w:rPr>
          <w:rFonts w:cs="Times New Roman"/>
        </w:rPr>
        <w:t>, §</w:t>
      </w:r>
      <w:r>
        <w:rPr>
          <w:rFonts w:cs="Times New Roman"/>
        </w:rPr>
        <w:t xml:space="preserve">1-504 (for general partnerships) and </w:t>
      </w:r>
      <w:r w:rsidRPr="0005031E">
        <w:rPr>
          <w:rFonts w:cs="Times New Roman"/>
        </w:rPr>
        <w:t>§</w:t>
      </w:r>
      <w:r>
        <w:rPr>
          <w:rFonts w:cs="Times New Roman"/>
        </w:rPr>
        <w:t>500-703A (for limited partnerships)</w:t>
      </w:r>
      <w:r>
        <w:t xml:space="preserve">.  </w:t>
      </w:r>
    </w:p>
  </w:footnote>
  <w:footnote w:id="86">
    <w:p w:rsidR="000018DD" w:rsidRDefault="000018DD">
      <w:pPr>
        <w:pStyle w:val="FootnoteText"/>
        <w:rPr>
          <w:rFonts w:cs="Times New Roman"/>
        </w:rPr>
      </w:pPr>
      <w:r>
        <w:rPr>
          <w:rStyle w:val="FootnoteReference"/>
        </w:rPr>
        <w:footnoteRef/>
      </w:r>
      <w:r>
        <w:t xml:space="preserve"> </w:t>
      </w:r>
      <w:r>
        <w:tab/>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sidRPr="0005031E">
        <w:rPr>
          <w:rFonts w:cs="Times New Roman"/>
        </w:rPr>
        <w:t xml:space="preserve"> </w:t>
      </w:r>
      <w:r>
        <w:rPr>
          <w:rFonts w:cs="Times New Roman"/>
        </w:rPr>
        <w:t>18</w:t>
      </w:r>
      <w:r w:rsidRPr="0005031E">
        <w:rPr>
          <w:rFonts w:cs="Times New Roman"/>
        </w:rPr>
        <w:t>, §</w:t>
      </w:r>
      <w:r>
        <w:rPr>
          <w:rFonts w:cs="Times New Roman"/>
        </w:rPr>
        <w:t>2034, which reads:</w:t>
      </w:r>
    </w:p>
    <w:p w:rsidR="000018DD" w:rsidRPr="00DD6622" w:rsidRDefault="000018DD" w:rsidP="00DD6622">
      <w:pPr>
        <w:pStyle w:val="FootnoteText"/>
        <w:ind w:left="1080" w:firstLine="0"/>
        <w:rPr>
          <w:rFonts w:cs="Times New Roman"/>
        </w:rPr>
      </w:pPr>
      <w:r w:rsidRPr="00DD6622">
        <w:rPr>
          <w:rFonts w:cs="Times New Roman"/>
        </w:rPr>
        <w:t>“</w:t>
      </w:r>
      <w:r w:rsidRPr="00DD6622">
        <w:rPr>
          <w:rFonts w:cs="Times New Roman"/>
          <w:shd w:val="clear" w:color="auto" w:fill="FFFFFF"/>
        </w:rPr>
        <w:t xml:space="preserve">On application to a court of competent jurisdiction by any judgment creditor of a member, the court may charge the membership interest of the member with payment of the unsatisfied amount of the judgment with interest. </w:t>
      </w:r>
      <w:r>
        <w:rPr>
          <w:rFonts w:cs="Times New Roman"/>
          <w:shd w:val="clear" w:color="auto" w:fill="FFFFFF"/>
        </w:rPr>
        <w:t xml:space="preserve"> </w:t>
      </w:r>
      <w:r w:rsidRPr="00DD6622">
        <w:rPr>
          <w:rFonts w:cs="Times New Roman"/>
          <w:shd w:val="clear" w:color="auto" w:fill="FFFFFF"/>
        </w:rPr>
        <w:t xml:space="preserve">To the extent so charged, the judgment creditor has only the rights of an assignee of the membership interest. </w:t>
      </w:r>
      <w:r>
        <w:rPr>
          <w:rFonts w:cs="Times New Roman"/>
          <w:shd w:val="clear" w:color="auto" w:fill="FFFFFF"/>
        </w:rPr>
        <w:t xml:space="preserve"> </w:t>
      </w:r>
      <w:r w:rsidRPr="00DD6622">
        <w:rPr>
          <w:rFonts w:cs="Times New Roman"/>
          <w:shd w:val="clear" w:color="auto" w:fill="FFFFFF"/>
        </w:rPr>
        <w:t xml:space="preserve">A charging order entered by a court pursuant to this section shall in no event be convertible into a membership interest through foreclosure or other action. </w:t>
      </w:r>
      <w:r>
        <w:rPr>
          <w:rFonts w:cs="Times New Roman"/>
          <w:shd w:val="clear" w:color="auto" w:fill="FFFFFF"/>
        </w:rPr>
        <w:t xml:space="preserve"> </w:t>
      </w:r>
      <w:r w:rsidRPr="00DD6622">
        <w:rPr>
          <w:rFonts w:cs="Times New Roman"/>
          <w:shd w:val="clear" w:color="auto" w:fill="FFFFFF"/>
        </w:rPr>
        <w:t xml:space="preserve">This act does not deprive any member of the benefit of any exemption laws applicable to his or her membership interest. </w:t>
      </w:r>
      <w:r>
        <w:rPr>
          <w:rFonts w:cs="Times New Roman"/>
          <w:shd w:val="clear" w:color="auto" w:fill="FFFFFF"/>
        </w:rPr>
        <w:t xml:space="preserve"> </w:t>
      </w:r>
      <w:r w:rsidRPr="00DD6622">
        <w:rPr>
          <w:rFonts w:cs="Times New Roman"/>
          <w:shd w:val="clear" w:color="auto" w:fill="FFFFFF"/>
        </w:rPr>
        <w:t>This section shall be the sole and exclusive remedy of a judgment creditor with respect to the judgment debtor's membership interest.”</w:t>
      </w:r>
      <w:r w:rsidRPr="00DD6622">
        <w:rPr>
          <w:rFonts w:cs="Times New Roman"/>
        </w:rPr>
        <w:t xml:space="preserve"> </w:t>
      </w:r>
    </w:p>
  </w:footnote>
  <w:footnote w:id="87">
    <w:p w:rsidR="000018DD" w:rsidRDefault="000018DD">
      <w:pPr>
        <w:pStyle w:val="FootnoteText"/>
      </w:pPr>
      <w:r>
        <w:rPr>
          <w:rStyle w:val="FootnoteReference"/>
        </w:rPr>
        <w:footnoteRef/>
      </w:r>
      <w:r>
        <w:t xml:space="preserve"> </w:t>
      </w:r>
      <w:r>
        <w:tab/>
      </w:r>
      <w:proofErr w:type="gramStart"/>
      <w:r w:rsidRPr="00CF1E20">
        <w:rPr>
          <w:i/>
        </w:rPr>
        <w:t>Id</w:t>
      </w:r>
      <w:r>
        <w:t xml:space="preserve">. at </w:t>
      </w:r>
      <w:r>
        <w:rPr>
          <w:rFonts w:cs="Times New Roman"/>
        </w:rPr>
        <w:t>§</w:t>
      </w:r>
      <w:r>
        <w:t>2033.A.</w:t>
      </w:r>
      <w:proofErr w:type="gramEnd"/>
    </w:p>
  </w:footnote>
  <w:footnote w:id="88">
    <w:p w:rsidR="000018DD" w:rsidRDefault="000018DD">
      <w:pPr>
        <w:pStyle w:val="FootnoteText"/>
      </w:pPr>
      <w:r>
        <w:rPr>
          <w:rStyle w:val="FootnoteReference"/>
        </w:rPr>
        <w:footnoteRef/>
      </w:r>
      <w:r>
        <w:t xml:space="preserve"> </w:t>
      </w:r>
      <w:r>
        <w:tab/>
      </w:r>
      <w:r>
        <w:rPr>
          <w:rFonts w:eastAsia="Times New Roman"/>
        </w:rPr>
        <w:t>2013 OK 86, 323 P.3d 215.</w:t>
      </w:r>
    </w:p>
  </w:footnote>
  <w:footnote w:id="89">
    <w:p w:rsidR="000018DD" w:rsidRDefault="000018DD">
      <w:pPr>
        <w:pStyle w:val="FootnoteText"/>
      </w:pPr>
      <w:r>
        <w:rPr>
          <w:rStyle w:val="FootnoteReference"/>
        </w:rPr>
        <w:footnoteRef/>
      </w:r>
      <w:r>
        <w:t xml:space="preserve"> </w:t>
      </w:r>
      <w:r>
        <w:tab/>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sidRPr="0005031E">
        <w:rPr>
          <w:rFonts w:cs="Times New Roman"/>
        </w:rPr>
        <w:t xml:space="preserve"> </w:t>
      </w:r>
      <w:proofErr w:type="gramStart"/>
      <w:r>
        <w:rPr>
          <w:rFonts w:cs="Times New Roman"/>
        </w:rPr>
        <w:t>68</w:t>
      </w:r>
      <w:r w:rsidRPr="0005031E">
        <w:rPr>
          <w:rFonts w:cs="Times New Roman"/>
        </w:rPr>
        <w:t>, §</w:t>
      </w:r>
      <w:r>
        <w:rPr>
          <w:rFonts w:cs="Times New Roman"/>
        </w:rPr>
        <w:t>1212.</w:t>
      </w:r>
      <w:proofErr w:type="gramEnd"/>
      <w:r>
        <w:rPr>
          <w:rFonts w:cs="Times New Roman"/>
        </w:rPr>
        <w:t xml:space="preserve">  </w:t>
      </w:r>
    </w:p>
  </w:footnote>
  <w:footnote w:id="90">
    <w:p w:rsidR="000018DD" w:rsidRDefault="000018DD">
      <w:pPr>
        <w:pStyle w:val="FootnoteText"/>
      </w:pPr>
      <w:r>
        <w:rPr>
          <w:rStyle w:val="FootnoteReference"/>
        </w:rPr>
        <w:footnoteRef/>
      </w:r>
      <w:r>
        <w:t xml:space="preserve"> </w:t>
      </w:r>
      <w:r>
        <w:tab/>
      </w:r>
      <w:proofErr w:type="gramStart"/>
      <w:r w:rsidRPr="00C96FB3">
        <w:rPr>
          <w:i/>
        </w:rPr>
        <w:t>Supra</w:t>
      </w:r>
      <w:r>
        <w:t xml:space="preserve"> at </w:t>
      </w:r>
      <w:r>
        <w:rPr>
          <w:rFonts w:cs="Times New Roman"/>
        </w:rPr>
        <w:t>¶16</w:t>
      </w:r>
      <w:r>
        <w:t xml:space="preserve">, citing </w:t>
      </w:r>
      <w:proofErr w:type="spellStart"/>
      <w:r>
        <w:t>Corman</w:t>
      </w:r>
      <w:proofErr w:type="spellEnd"/>
      <w:r>
        <w:t xml:space="preserve"> v. H-30 Drilling, Inc., 2001 OK 92, 40 P.3d 1051.</w:t>
      </w:r>
      <w:proofErr w:type="gramEnd"/>
    </w:p>
  </w:footnote>
  <w:footnote w:id="91">
    <w:p w:rsidR="000018DD" w:rsidRDefault="000018DD">
      <w:pPr>
        <w:pStyle w:val="FootnoteText"/>
      </w:pPr>
      <w:r>
        <w:rPr>
          <w:rStyle w:val="FootnoteReference"/>
        </w:rPr>
        <w:footnoteRef/>
      </w:r>
      <w:r>
        <w:t xml:space="preserve"> </w:t>
      </w:r>
      <w:r>
        <w:tab/>
        <w:t xml:space="preserve">KOD relied on Section 1099 of the OGCA, which provides that a corporation continues for three years after dissolution for the purpose of winding up its affairs.  The three year period can be extended by order of the district court and is extended for the resolution of claims by or against the dissolved corporation begun during the three year period.  </w:t>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sidRPr="0005031E">
        <w:rPr>
          <w:rFonts w:cs="Times New Roman"/>
        </w:rPr>
        <w:t xml:space="preserve"> </w:t>
      </w:r>
      <w:proofErr w:type="gramStart"/>
      <w:r>
        <w:rPr>
          <w:rFonts w:cs="Times New Roman"/>
        </w:rPr>
        <w:t>18</w:t>
      </w:r>
      <w:r w:rsidRPr="0005031E">
        <w:rPr>
          <w:rFonts w:cs="Times New Roman"/>
        </w:rPr>
        <w:t>, §</w:t>
      </w:r>
      <w:r>
        <w:rPr>
          <w:rFonts w:cs="Times New Roman"/>
        </w:rPr>
        <w:t>1099.</w:t>
      </w:r>
      <w:proofErr w:type="gramEnd"/>
      <w:r>
        <w:rPr>
          <w:rFonts w:cs="Times New Roman"/>
        </w:rPr>
        <w:t xml:space="preserve">  The trial court appeared to have relied upon this statute to extend KOD’s right to pursue its foreclosure.  </w:t>
      </w:r>
    </w:p>
  </w:footnote>
  <w:footnote w:id="92">
    <w:p w:rsidR="000018DD" w:rsidRDefault="000018DD">
      <w:pPr>
        <w:pStyle w:val="FootnoteText"/>
      </w:pPr>
      <w:r>
        <w:rPr>
          <w:rStyle w:val="FootnoteReference"/>
        </w:rPr>
        <w:footnoteRef/>
      </w:r>
      <w:r>
        <w:t xml:space="preserve"> </w:t>
      </w:r>
      <w:r w:rsidRPr="002609B0">
        <w:rPr>
          <w:rFonts w:cs="Times New Roman"/>
        </w:rPr>
        <w:tab/>
      </w:r>
      <w:r w:rsidRPr="002609B0">
        <w:rPr>
          <w:rFonts w:cs="Times New Roman"/>
          <w:i/>
        </w:rPr>
        <w:t>Supra</w:t>
      </w:r>
      <w:r w:rsidRPr="002609B0">
        <w:rPr>
          <w:rFonts w:cs="Times New Roman"/>
        </w:rPr>
        <w:t xml:space="preserve"> at ¶21, citing Williams v. Smith &amp; Nephew, Inc., 2009 OK 36, 212 P.3d 484 (“Under §1212(A), the corporate charter is merely suspended - it is not ‘forfeited,’ ‘cancelled’ or ‘dissolved.’”).  </w:t>
      </w:r>
      <w:r w:rsidRPr="002609B0">
        <w:rPr>
          <w:rFonts w:cs="Times New Roman"/>
          <w:i/>
        </w:rPr>
        <w:t>Williams</w:t>
      </w:r>
      <w:r w:rsidRPr="002609B0">
        <w:rPr>
          <w:rFonts w:cs="Times New Roman"/>
        </w:rPr>
        <w:t xml:space="preserve"> notes that Section 1212.F provides for the reinstatement of the</w:t>
      </w:r>
      <w:r>
        <w:rPr>
          <w:rFonts w:cs="Times New Roman"/>
        </w:rPr>
        <w:t xml:space="preserve"> </w:t>
      </w:r>
      <w:r w:rsidRPr="002609B0">
        <w:rPr>
          <w:rFonts w:cs="Times New Roman"/>
        </w:rPr>
        <w:t xml:space="preserve">corporation upon payment of the delinquent fees and holds that </w:t>
      </w:r>
      <w:r>
        <w:rPr>
          <w:rFonts w:cs="Times New Roman"/>
        </w:rPr>
        <w:t xml:space="preserve">“the </w:t>
      </w:r>
      <w:r w:rsidRPr="002609B0">
        <w:rPr>
          <w:rFonts w:cs="Times New Roman"/>
        </w:rPr>
        <w:t>fact that the corporation may be revived and reinstated reflects that the corporation is not legally dead.”</w:t>
      </w:r>
      <w:r>
        <w:rPr>
          <w:rFonts w:cs="Times New Roman"/>
        </w:rPr>
        <w:t xml:space="preserve">  </w:t>
      </w:r>
      <w:proofErr w:type="gramStart"/>
      <w:r w:rsidRPr="0044263D">
        <w:rPr>
          <w:rFonts w:cs="Times New Roman"/>
          <w:i/>
        </w:rPr>
        <w:t>Id</w:t>
      </w:r>
      <w:r>
        <w:rPr>
          <w:rFonts w:cs="Times New Roman"/>
        </w:rPr>
        <w:t>. at ¶10.</w:t>
      </w:r>
      <w:proofErr w:type="gramEnd"/>
      <w:r>
        <w:rPr>
          <w:rFonts w:cs="Times New Roman"/>
        </w:rPr>
        <w:t xml:space="preserve">  The Court </w:t>
      </w:r>
    </w:p>
  </w:footnote>
  <w:footnote w:id="93">
    <w:p w:rsidR="000018DD" w:rsidRDefault="000018DD">
      <w:pPr>
        <w:pStyle w:val="FootnoteText"/>
      </w:pPr>
      <w:r>
        <w:rPr>
          <w:rStyle w:val="FootnoteReference"/>
        </w:rPr>
        <w:footnoteRef/>
      </w:r>
      <w:r>
        <w:t xml:space="preserve"> </w:t>
      </w:r>
      <w:r>
        <w:tab/>
        <w:t xml:space="preserve">Section 1096 of the OGCA describes the procedure for dissolution, which requires the filing of a certificate of dissolution with the Secretary of State.  </w:t>
      </w:r>
      <w:r w:rsidRPr="00FB570C">
        <w:rPr>
          <w:rFonts w:cs="Times New Roman"/>
          <w:smallCaps/>
        </w:rPr>
        <w:t>Ok</w:t>
      </w:r>
      <w:r>
        <w:rPr>
          <w:rFonts w:cs="Times New Roman"/>
          <w:smallCaps/>
        </w:rPr>
        <w:t>la</w:t>
      </w:r>
      <w:r w:rsidRPr="00FB570C">
        <w:rPr>
          <w:rFonts w:cs="Times New Roman"/>
          <w:smallCaps/>
        </w:rPr>
        <w:t xml:space="preserve">. </w:t>
      </w:r>
      <w:proofErr w:type="gramStart"/>
      <w:r w:rsidRPr="00FB570C">
        <w:rPr>
          <w:rFonts w:cs="Times New Roman"/>
          <w:smallCaps/>
        </w:rPr>
        <w:t>Stat</w:t>
      </w:r>
      <w:r w:rsidRPr="0005031E">
        <w:rPr>
          <w:rFonts w:cs="Times New Roman"/>
        </w:rPr>
        <w:t>. tit.</w:t>
      </w:r>
      <w:proofErr w:type="gramEnd"/>
      <w:r w:rsidRPr="0005031E">
        <w:rPr>
          <w:rFonts w:cs="Times New Roman"/>
        </w:rPr>
        <w:t xml:space="preserve"> </w:t>
      </w:r>
      <w:proofErr w:type="gramStart"/>
      <w:r>
        <w:rPr>
          <w:rFonts w:cs="Times New Roman"/>
        </w:rPr>
        <w:t>18</w:t>
      </w:r>
      <w:r w:rsidRPr="0005031E">
        <w:rPr>
          <w:rFonts w:cs="Times New Roman"/>
        </w:rPr>
        <w:t>, §</w:t>
      </w:r>
      <w:r>
        <w:rPr>
          <w:rFonts w:cs="Times New Roman"/>
        </w:rPr>
        <w:t>1096.D.</w:t>
      </w:r>
      <w:proofErr w:type="gramEnd"/>
      <w:r>
        <w:rPr>
          <w:rFonts w:cs="Times New Roman"/>
        </w:rPr>
        <w:t xml:space="preserve">  </w:t>
      </w:r>
      <w:r>
        <w:t xml:space="preserve">The Secretary of State will not accept the filing if the corporation is delinquent in the payment of its franchise taxes.  </w:t>
      </w:r>
      <w:proofErr w:type="gramStart"/>
      <w:r w:rsidRPr="0032118C">
        <w:rPr>
          <w:i/>
        </w:rPr>
        <w:t>Id</w:t>
      </w:r>
      <w:r>
        <w:t xml:space="preserve">. at </w:t>
      </w:r>
      <w:r w:rsidRPr="0005031E">
        <w:rPr>
          <w:rFonts w:cs="Times New Roman"/>
        </w:rPr>
        <w:t>§</w:t>
      </w:r>
      <w:r>
        <w:rPr>
          <w:rFonts w:cs="Times New Roman"/>
        </w:rPr>
        <w:t>1007.C.2.</w:t>
      </w:r>
      <w:proofErr w:type="gramEnd"/>
    </w:p>
  </w:footnote>
  <w:footnote w:id="94">
    <w:p w:rsidR="00A01241" w:rsidRDefault="00A01241">
      <w:pPr>
        <w:pStyle w:val="FootnoteText"/>
      </w:pPr>
      <w:r>
        <w:rPr>
          <w:rStyle w:val="FootnoteReference"/>
        </w:rPr>
        <w:footnoteRef/>
      </w:r>
      <w:r>
        <w:t xml:space="preserve"> </w:t>
      </w:r>
      <w:r>
        <w:tab/>
      </w:r>
      <w:r w:rsidRPr="00A01241">
        <w:rPr>
          <w:i/>
        </w:rPr>
        <w:t>See</w:t>
      </w:r>
      <w:r>
        <w:rPr>
          <w:i/>
        </w:rPr>
        <w:t xml:space="preserve"> e.g.</w:t>
      </w:r>
      <w:r w:rsidRPr="00A01241">
        <w:t>,</w:t>
      </w:r>
      <w:r>
        <w:t xml:space="preserve"> </w:t>
      </w:r>
      <w:r w:rsidRPr="002609B0">
        <w:rPr>
          <w:rFonts w:cs="Times New Roman"/>
        </w:rPr>
        <w:t xml:space="preserve">Williams v. Smith &amp; Nephew, Inc., </w:t>
      </w:r>
      <w:r w:rsidRPr="00A01241">
        <w:rPr>
          <w:rFonts w:cs="Times New Roman"/>
          <w:i/>
        </w:rPr>
        <w:t>supra</w:t>
      </w:r>
      <w:r>
        <w:rPr>
          <w:rFonts w:cs="Times New Roman"/>
        </w:rPr>
        <w:t xml:space="preserve">; </w:t>
      </w:r>
      <w:proofErr w:type="spellStart"/>
      <w:r>
        <w:rPr>
          <w:rFonts w:cs="Times New Roman"/>
        </w:rPr>
        <w:t>Corman</w:t>
      </w:r>
      <w:proofErr w:type="spellEnd"/>
      <w:r>
        <w:rPr>
          <w:rFonts w:cs="Times New Roman"/>
        </w:rPr>
        <w:t xml:space="preserve"> v. H-30 Drilling, Inc., 2001 OK 92, 40 P.3d 1051; and K.J. </w:t>
      </w:r>
      <w:proofErr w:type="spellStart"/>
      <w:r>
        <w:rPr>
          <w:rFonts w:cs="Times New Roman"/>
        </w:rPr>
        <w:t>McNitt</w:t>
      </w:r>
      <w:proofErr w:type="spellEnd"/>
      <w:r>
        <w:rPr>
          <w:rFonts w:cs="Times New Roman"/>
        </w:rPr>
        <w:t xml:space="preserve"> Construction, Inc. v. Economopoulos, 2001 OK CIV APP 45, 23 P.3d 983. s</w:t>
      </w:r>
    </w:p>
  </w:footnote>
  <w:footnote w:id="95">
    <w:p w:rsidR="000018DD" w:rsidRPr="00363BC9" w:rsidRDefault="000018DD" w:rsidP="003545EB">
      <w:pPr>
        <w:pStyle w:val="FootnoteText"/>
      </w:pPr>
      <w:r w:rsidRPr="00363BC9">
        <w:rPr>
          <w:rStyle w:val="FootnoteReference"/>
        </w:rPr>
        <w:footnoteRef/>
      </w:r>
      <w:r w:rsidRPr="00363BC9">
        <w:t xml:space="preserve"> </w:t>
      </w:r>
      <w:r w:rsidRPr="00363BC9">
        <w:tab/>
      </w:r>
      <w:r w:rsidRPr="00363BC9">
        <w:rPr>
          <w:i/>
        </w:rPr>
        <w:t xml:space="preserve">See </w:t>
      </w:r>
      <w:proofErr w:type="gramStart"/>
      <w:r w:rsidRPr="00125C26">
        <w:rPr>
          <w:i/>
        </w:rPr>
        <w:t>Down on the Street: A</w:t>
      </w:r>
      <w:proofErr w:type="gramEnd"/>
      <w:r w:rsidRPr="00125C26">
        <w:rPr>
          <w:i/>
        </w:rPr>
        <w:t xml:space="preserve"> Special Report on American’s Capital Markets</w:t>
      </w:r>
      <w:r w:rsidRPr="00363BC9">
        <w:t xml:space="preserve">, </w:t>
      </w:r>
      <w:r w:rsidRPr="002703CC">
        <w:rPr>
          <w:iCs/>
          <w:smallCaps/>
        </w:rPr>
        <w:t xml:space="preserve">The Economist </w:t>
      </w:r>
      <w:r w:rsidRPr="00363BC9">
        <w:t>(Nov. 25, 2006)</w:t>
      </w:r>
      <w:r>
        <w:t>.</w:t>
      </w:r>
      <w:r w:rsidRPr="00363BC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Default="00001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DD" w:rsidRDefault="00001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3DC"/>
    <w:multiLevelType w:val="multilevel"/>
    <w:tmpl w:val="2B14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7301F"/>
    <w:multiLevelType w:val="hybridMultilevel"/>
    <w:tmpl w:val="B0BA6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6C4E4F"/>
    <w:multiLevelType w:val="multilevel"/>
    <w:tmpl w:val="50903CE2"/>
    <w:styleLink w:val="DB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BF3227"/>
    <w:multiLevelType w:val="multilevel"/>
    <w:tmpl w:val="96DC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A248B"/>
    <w:multiLevelType w:val="multilevel"/>
    <w:tmpl w:val="593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B3C56"/>
    <w:multiLevelType w:val="hybridMultilevel"/>
    <w:tmpl w:val="8160C6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C0377"/>
    <w:multiLevelType w:val="multilevel"/>
    <w:tmpl w:val="30E6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C7513"/>
    <w:multiLevelType w:val="multilevel"/>
    <w:tmpl w:val="6A1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02C3E"/>
    <w:multiLevelType w:val="multilevel"/>
    <w:tmpl w:val="202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F83314"/>
    <w:multiLevelType w:val="hybridMultilevel"/>
    <w:tmpl w:val="7308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F75360"/>
    <w:multiLevelType w:val="multilevel"/>
    <w:tmpl w:val="92F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04067"/>
    <w:multiLevelType w:val="multilevel"/>
    <w:tmpl w:val="F61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7523FB"/>
    <w:multiLevelType w:val="multilevel"/>
    <w:tmpl w:val="37F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A022DC"/>
    <w:multiLevelType w:val="hybridMultilevel"/>
    <w:tmpl w:val="26DA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F04CE9"/>
    <w:multiLevelType w:val="hybridMultilevel"/>
    <w:tmpl w:val="BC4644F2"/>
    <w:lvl w:ilvl="0" w:tplc="BDA280B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932A7A"/>
    <w:multiLevelType w:val="hybridMultilevel"/>
    <w:tmpl w:val="8F9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B3642"/>
    <w:multiLevelType w:val="multilevel"/>
    <w:tmpl w:val="75F2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116FB"/>
    <w:multiLevelType w:val="hybridMultilevel"/>
    <w:tmpl w:val="F6E0AA48"/>
    <w:lvl w:ilvl="0" w:tplc="F6EED132">
      <w:numFmt w:val="bullet"/>
      <w:lvlText w:val="•"/>
      <w:lvlJc w:val="left"/>
      <w:pPr>
        <w:ind w:left="1575" w:hanging="855"/>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3919A5"/>
    <w:multiLevelType w:val="hybridMultilevel"/>
    <w:tmpl w:val="F8DA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0E66BF"/>
    <w:multiLevelType w:val="multilevel"/>
    <w:tmpl w:val="1AE4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3"/>
  </w:num>
  <w:num w:numId="6">
    <w:abstractNumId w:val="16"/>
  </w:num>
  <w:num w:numId="7">
    <w:abstractNumId w:val="0"/>
  </w:num>
  <w:num w:numId="8">
    <w:abstractNumId w:val="19"/>
  </w:num>
  <w:num w:numId="9">
    <w:abstractNumId w:val="7"/>
  </w:num>
  <w:num w:numId="10">
    <w:abstractNumId w:val="10"/>
  </w:num>
  <w:num w:numId="11">
    <w:abstractNumId w:val="15"/>
  </w:num>
  <w:num w:numId="12">
    <w:abstractNumId w:val="17"/>
  </w:num>
  <w:num w:numId="13">
    <w:abstractNumId w:val="9"/>
  </w:num>
  <w:num w:numId="14">
    <w:abstractNumId w:val="13"/>
  </w:num>
  <w:num w:numId="15">
    <w:abstractNumId w:val="18"/>
  </w:num>
  <w:num w:numId="16">
    <w:abstractNumId w:val="12"/>
  </w:num>
  <w:num w:numId="17">
    <w:abstractNumId w:val="4"/>
  </w:num>
  <w:num w:numId="18">
    <w:abstractNumId w:val="11"/>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3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1B18"/>
    <w:rsid w:val="000001B0"/>
    <w:rsid w:val="00000536"/>
    <w:rsid w:val="000012D7"/>
    <w:rsid w:val="000018DD"/>
    <w:rsid w:val="00002283"/>
    <w:rsid w:val="000028FC"/>
    <w:rsid w:val="000041F0"/>
    <w:rsid w:val="000051CB"/>
    <w:rsid w:val="00005A10"/>
    <w:rsid w:val="000101C0"/>
    <w:rsid w:val="00010730"/>
    <w:rsid w:val="0001183A"/>
    <w:rsid w:val="000119DF"/>
    <w:rsid w:val="00014D57"/>
    <w:rsid w:val="000207F0"/>
    <w:rsid w:val="00021B8A"/>
    <w:rsid w:val="00021CD0"/>
    <w:rsid w:val="000239C6"/>
    <w:rsid w:val="00023AAA"/>
    <w:rsid w:val="00025C51"/>
    <w:rsid w:val="00026C15"/>
    <w:rsid w:val="00027089"/>
    <w:rsid w:val="00030585"/>
    <w:rsid w:val="00031A75"/>
    <w:rsid w:val="00031B2D"/>
    <w:rsid w:val="00031D14"/>
    <w:rsid w:val="00032187"/>
    <w:rsid w:val="00032A9B"/>
    <w:rsid w:val="00033685"/>
    <w:rsid w:val="0003488F"/>
    <w:rsid w:val="00034D46"/>
    <w:rsid w:val="00035471"/>
    <w:rsid w:val="00035B53"/>
    <w:rsid w:val="00036307"/>
    <w:rsid w:val="00040AF0"/>
    <w:rsid w:val="00040CA4"/>
    <w:rsid w:val="000413F1"/>
    <w:rsid w:val="0004183C"/>
    <w:rsid w:val="00042D4A"/>
    <w:rsid w:val="00042D5F"/>
    <w:rsid w:val="00043140"/>
    <w:rsid w:val="000434F4"/>
    <w:rsid w:val="0004421A"/>
    <w:rsid w:val="000444F6"/>
    <w:rsid w:val="00045095"/>
    <w:rsid w:val="00046D3F"/>
    <w:rsid w:val="000479F9"/>
    <w:rsid w:val="00051D65"/>
    <w:rsid w:val="00052CB8"/>
    <w:rsid w:val="00052EEB"/>
    <w:rsid w:val="0005476C"/>
    <w:rsid w:val="000574DC"/>
    <w:rsid w:val="00057A67"/>
    <w:rsid w:val="000616B0"/>
    <w:rsid w:val="00062143"/>
    <w:rsid w:val="00062204"/>
    <w:rsid w:val="000627E8"/>
    <w:rsid w:val="00062A44"/>
    <w:rsid w:val="000639FE"/>
    <w:rsid w:val="00067741"/>
    <w:rsid w:val="0007192A"/>
    <w:rsid w:val="00071F92"/>
    <w:rsid w:val="00072E10"/>
    <w:rsid w:val="00072F38"/>
    <w:rsid w:val="00075CC0"/>
    <w:rsid w:val="00076698"/>
    <w:rsid w:val="00080F3C"/>
    <w:rsid w:val="00081D8D"/>
    <w:rsid w:val="0008206D"/>
    <w:rsid w:val="00082288"/>
    <w:rsid w:val="00082418"/>
    <w:rsid w:val="0008377E"/>
    <w:rsid w:val="000850A0"/>
    <w:rsid w:val="000854BE"/>
    <w:rsid w:val="00085D8D"/>
    <w:rsid w:val="00086461"/>
    <w:rsid w:val="00086911"/>
    <w:rsid w:val="00087267"/>
    <w:rsid w:val="00087DD2"/>
    <w:rsid w:val="00090E4A"/>
    <w:rsid w:val="0009110F"/>
    <w:rsid w:val="00091C44"/>
    <w:rsid w:val="00092D0E"/>
    <w:rsid w:val="000947C4"/>
    <w:rsid w:val="000948B0"/>
    <w:rsid w:val="000948D0"/>
    <w:rsid w:val="000949DF"/>
    <w:rsid w:val="00095E83"/>
    <w:rsid w:val="000A017D"/>
    <w:rsid w:val="000A08B8"/>
    <w:rsid w:val="000A11D3"/>
    <w:rsid w:val="000A4A0A"/>
    <w:rsid w:val="000A6976"/>
    <w:rsid w:val="000A704E"/>
    <w:rsid w:val="000A76C6"/>
    <w:rsid w:val="000B18F2"/>
    <w:rsid w:val="000B3259"/>
    <w:rsid w:val="000B3843"/>
    <w:rsid w:val="000B65D5"/>
    <w:rsid w:val="000B7E30"/>
    <w:rsid w:val="000C0656"/>
    <w:rsid w:val="000C0A73"/>
    <w:rsid w:val="000C2862"/>
    <w:rsid w:val="000C46EB"/>
    <w:rsid w:val="000C5E64"/>
    <w:rsid w:val="000C6956"/>
    <w:rsid w:val="000D011E"/>
    <w:rsid w:val="000D0621"/>
    <w:rsid w:val="000D25C1"/>
    <w:rsid w:val="000D40D6"/>
    <w:rsid w:val="000D5832"/>
    <w:rsid w:val="000D5D93"/>
    <w:rsid w:val="000D7D3D"/>
    <w:rsid w:val="000E10A5"/>
    <w:rsid w:val="000E1FF1"/>
    <w:rsid w:val="000E2687"/>
    <w:rsid w:val="000E5CA6"/>
    <w:rsid w:val="000E6767"/>
    <w:rsid w:val="000E677C"/>
    <w:rsid w:val="000E6A30"/>
    <w:rsid w:val="000E753E"/>
    <w:rsid w:val="000E7887"/>
    <w:rsid w:val="000E7E9D"/>
    <w:rsid w:val="000F0EF2"/>
    <w:rsid w:val="000F20CC"/>
    <w:rsid w:val="000F4580"/>
    <w:rsid w:val="00100CFA"/>
    <w:rsid w:val="00101464"/>
    <w:rsid w:val="00104774"/>
    <w:rsid w:val="00105B8D"/>
    <w:rsid w:val="001108EF"/>
    <w:rsid w:val="00112FF2"/>
    <w:rsid w:val="0011334A"/>
    <w:rsid w:val="0011518C"/>
    <w:rsid w:val="001151BA"/>
    <w:rsid w:val="00115463"/>
    <w:rsid w:val="00116294"/>
    <w:rsid w:val="0011660D"/>
    <w:rsid w:val="00117D2A"/>
    <w:rsid w:val="001210C5"/>
    <w:rsid w:val="001216A9"/>
    <w:rsid w:val="00121D2C"/>
    <w:rsid w:val="00121E44"/>
    <w:rsid w:val="001234FB"/>
    <w:rsid w:val="001242E3"/>
    <w:rsid w:val="0012436E"/>
    <w:rsid w:val="00125C26"/>
    <w:rsid w:val="0013038C"/>
    <w:rsid w:val="00132081"/>
    <w:rsid w:val="0013493B"/>
    <w:rsid w:val="00134AE1"/>
    <w:rsid w:val="00134E9E"/>
    <w:rsid w:val="00134EE9"/>
    <w:rsid w:val="001363DA"/>
    <w:rsid w:val="001375CC"/>
    <w:rsid w:val="00140A80"/>
    <w:rsid w:val="00140BD6"/>
    <w:rsid w:val="00141D0A"/>
    <w:rsid w:val="0014214C"/>
    <w:rsid w:val="00147451"/>
    <w:rsid w:val="001508F1"/>
    <w:rsid w:val="00151FA8"/>
    <w:rsid w:val="00152859"/>
    <w:rsid w:val="001537B4"/>
    <w:rsid w:val="0015437A"/>
    <w:rsid w:val="0015482D"/>
    <w:rsid w:val="001548BB"/>
    <w:rsid w:val="00155149"/>
    <w:rsid w:val="00155483"/>
    <w:rsid w:val="00156683"/>
    <w:rsid w:val="00160815"/>
    <w:rsid w:val="001617BF"/>
    <w:rsid w:val="00161812"/>
    <w:rsid w:val="00161F68"/>
    <w:rsid w:val="001622BF"/>
    <w:rsid w:val="00163BFC"/>
    <w:rsid w:val="00163D2D"/>
    <w:rsid w:val="00163E31"/>
    <w:rsid w:val="001646C6"/>
    <w:rsid w:val="00170245"/>
    <w:rsid w:val="001734EC"/>
    <w:rsid w:val="00174F51"/>
    <w:rsid w:val="00175065"/>
    <w:rsid w:val="00176004"/>
    <w:rsid w:val="00176431"/>
    <w:rsid w:val="001773FA"/>
    <w:rsid w:val="00180F2A"/>
    <w:rsid w:val="001820FD"/>
    <w:rsid w:val="00184E0B"/>
    <w:rsid w:val="001871EE"/>
    <w:rsid w:val="0019071B"/>
    <w:rsid w:val="0019080D"/>
    <w:rsid w:val="00191030"/>
    <w:rsid w:val="00191CBD"/>
    <w:rsid w:val="001939D1"/>
    <w:rsid w:val="00195FB2"/>
    <w:rsid w:val="0019625B"/>
    <w:rsid w:val="00196C1B"/>
    <w:rsid w:val="001A0092"/>
    <w:rsid w:val="001A0563"/>
    <w:rsid w:val="001A2F3C"/>
    <w:rsid w:val="001A5586"/>
    <w:rsid w:val="001A5F1E"/>
    <w:rsid w:val="001A685E"/>
    <w:rsid w:val="001B0CA4"/>
    <w:rsid w:val="001B2782"/>
    <w:rsid w:val="001B4B54"/>
    <w:rsid w:val="001B5F35"/>
    <w:rsid w:val="001C0913"/>
    <w:rsid w:val="001C35FF"/>
    <w:rsid w:val="001C5721"/>
    <w:rsid w:val="001C66AD"/>
    <w:rsid w:val="001D0722"/>
    <w:rsid w:val="001D1225"/>
    <w:rsid w:val="001D1709"/>
    <w:rsid w:val="001D1749"/>
    <w:rsid w:val="001D1AE4"/>
    <w:rsid w:val="001D39CA"/>
    <w:rsid w:val="001D4BB9"/>
    <w:rsid w:val="001D55C7"/>
    <w:rsid w:val="001D577B"/>
    <w:rsid w:val="001D5D49"/>
    <w:rsid w:val="001D614D"/>
    <w:rsid w:val="001D7A78"/>
    <w:rsid w:val="001E0717"/>
    <w:rsid w:val="001E10F7"/>
    <w:rsid w:val="001E16C0"/>
    <w:rsid w:val="001E2BD3"/>
    <w:rsid w:val="001E529F"/>
    <w:rsid w:val="001E7CCC"/>
    <w:rsid w:val="001F163C"/>
    <w:rsid w:val="001F1E8B"/>
    <w:rsid w:val="001F27C4"/>
    <w:rsid w:val="001F296A"/>
    <w:rsid w:val="001F3DDC"/>
    <w:rsid w:val="001F41D1"/>
    <w:rsid w:val="001F41E9"/>
    <w:rsid w:val="001F4334"/>
    <w:rsid w:val="001F4C97"/>
    <w:rsid w:val="001F53CA"/>
    <w:rsid w:val="001F5915"/>
    <w:rsid w:val="001F5CB6"/>
    <w:rsid w:val="001F6D6B"/>
    <w:rsid w:val="001F6E69"/>
    <w:rsid w:val="001F7573"/>
    <w:rsid w:val="001F76C4"/>
    <w:rsid w:val="002002F4"/>
    <w:rsid w:val="00200531"/>
    <w:rsid w:val="002006FA"/>
    <w:rsid w:val="0020134F"/>
    <w:rsid w:val="0020288E"/>
    <w:rsid w:val="002035CA"/>
    <w:rsid w:val="00203E3D"/>
    <w:rsid w:val="00204057"/>
    <w:rsid w:val="00204646"/>
    <w:rsid w:val="00204FCB"/>
    <w:rsid w:val="002052CC"/>
    <w:rsid w:val="00205A98"/>
    <w:rsid w:val="00207547"/>
    <w:rsid w:val="00211C4B"/>
    <w:rsid w:val="002150F3"/>
    <w:rsid w:val="00215A7B"/>
    <w:rsid w:val="002178AA"/>
    <w:rsid w:val="00221306"/>
    <w:rsid w:val="0022170D"/>
    <w:rsid w:val="00221BFB"/>
    <w:rsid w:val="00221C5E"/>
    <w:rsid w:val="00224E39"/>
    <w:rsid w:val="00225004"/>
    <w:rsid w:val="0022589D"/>
    <w:rsid w:val="00225F4C"/>
    <w:rsid w:val="00227651"/>
    <w:rsid w:val="00231B0C"/>
    <w:rsid w:val="00232649"/>
    <w:rsid w:val="00232B4C"/>
    <w:rsid w:val="002344CA"/>
    <w:rsid w:val="00234D7A"/>
    <w:rsid w:val="0023705C"/>
    <w:rsid w:val="002376EC"/>
    <w:rsid w:val="002409A4"/>
    <w:rsid w:val="00241331"/>
    <w:rsid w:val="002413EA"/>
    <w:rsid w:val="002422BF"/>
    <w:rsid w:val="0024256B"/>
    <w:rsid w:val="00242B9B"/>
    <w:rsid w:val="0024312F"/>
    <w:rsid w:val="002449BA"/>
    <w:rsid w:val="00245D14"/>
    <w:rsid w:val="0024795F"/>
    <w:rsid w:val="00247DCE"/>
    <w:rsid w:val="00251150"/>
    <w:rsid w:val="00253A06"/>
    <w:rsid w:val="00253A66"/>
    <w:rsid w:val="0025491A"/>
    <w:rsid w:val="00254B8B"/>
    <w:rsid w:val="00255721"/>
    <w:rsid w:val="00255D17"/>
    <w:rsid w:val="00255E1F"/>
    <w:rsid w:val="00257D4D"/>
    <w:rsid w:val="00257DCF"/>
    <w:rsid w:val="00260142"/>
    <w:rsid w:val="002609B0"/>
    <w:rsid w:val="00260C8D"/>
    <w:rsid w:val="00261E45"/>
    <w:rsid w:val="00262766"/>
    <w:rsid w:val="00264B60"/>
    <w:rsid w:val="00264DFC"/>
    <w:rsid w:val="00265C0B"/>
    <w:rsid w:val="00266133"/>
    <w:rsid w:val="002672AD"/>
    <w:rsid w:val="00267513"/>
    <w:rsid w:val="002703CC"/>
    <w:rsid w:val="0027080D"/>
    <w:rsid w:val="00271035"/>
    <w:rsid w:val="0027188A"/>
    <w:rsid w:val="002726C2"/>
    <w:rsid w:val="002727D7"/>
    <w:rsid w:val="002736B3"/>
    <w:rsid w:val="00273C86"/>
    <w:rsid w:val="00273E8D"/>
    <w:rsid w:val="00273EDE"/>
    <w:rsid w:val="0027451C"/>
    <w:rsid w:val="00274826"/>
    <w:rsid w:val="002749BF"/>
    <w:rsid w:val="00276E70"/>
    <w:rsid w:val="0027741D"/>
    <w:rsid w:val="00280C31"/>
    <w:rsid w:val="00281BFE"/>
    <w:rsid w:val="0028278D"/>
    <w:rsid w:val="002853B1"/>
    <w:rsid w:val="00286161"/>
    <w:rsid w:val="002911D8"/>
    <w:rsid w:val="00292C62"/>
    <w:rsid w:val="0029350F"/>
    <w:rsid w:val="00293DDD"/>
    <w:rsid w:val="0029425F"/>
    <w:rsid w:val="002945EB"/>
    <w:rsid w:val="00294A09"/>
    <w:rsid w:val="00295E3D"/>
    <w:rsid w:val="00295E8A"/>
    <w:rsid w:val="00297C75"/>
    <w:rsid w:val="002A12DE"/>
    <w:rsid w:val="002A1A14"/>
    <w:rsid w:val="002A23EB"/>
    <w:rsid w:val="002A31FA"/>
    <w:rsid w:val="002A6E84"/>
    <w:rsid w:val="002A727E"/>
    <w:rsid w:val="002A79EF"/>
    <w:rsid w:val="002A7AF7"/>
    <w:rsid w:val="002B003F"/>
    <w:rsid w:val="002B08AC"/>
    <w:rsid w:val="002B1022"/>
    <w:rsid w:val="002B1641"/>
    <w:rsid w:val="002B7C86"/>
    <w:rsid w:val="002C15E9"/>
    <w:rsid w:val="002C2D1E"/>
    <w:rsid w:val="002C2DCC"/>
    <w:rsid w:val="002C3065"/>
    <w:rsid w:val="002C33EF"/>
    <w:rsid w:val="002C3691"/>
    <w:rsid w:val="002C464A"/>
    <w:rsid w:val="002C52D9"/>
    <w:rsid w:val="002C6C23"/>
    <w:rsid w:val="002D073A"/>
    <w:rsid w:val="002D0B8D"/>
    <w:rsid w:val="002D1D56"/>
    <w:rsid w:val="002D3219"/>
    <w:rsid w:val="002D45FA"/>
    <w:rsid w:val="002D7016"/>
    <w:rsid w:val="002E28C3"/>
    <w:rsid w:val="002E438E"/>
    <w:rsid w:val="002E46C1"/>
    <w:rsid w:val="002E5BEE"/>
    <w:rsid w:val="002E76CE"/>
    <w:rsid w:val="002F0A4B"/>
    <w:rsid w:val="002F0C20"/>
    <w:rsid w:val="002F2FBB"/>
    <w:rsid w:val="002F4E1F"/>
    <w:rsid w:val="002F530F"/>
    <w:rsid w:val="002F5451"/>
    <w:rsid w:val="002F6A31"/>
    <w:rsid w:val="002F6D5C"/>
    <w:rsid w:val="00301840"/>
    <w:rsid w:val="003026A0"/>
    <w:rsid w:val="00302E29"/>
    <w:rsid w:val="0030407F"/>
    <w:rsid w:val="00304233"/>
    <w:rsid w:val="00304D2D"/>
    <w:rsid w:val="0030552B"/>
    <w:rsid w:val="00306254"/>
    <w:rsid w:val="00306260"/>
    <w:rsid w:val="00306D03"/>
    <w:rsid w:val="0031008B"/>
    <w:rsid w:val="00310493"/>
    <w:rsid w:val="00313DEB"/>
    <w:rsid w:val="00316339"/>
    <w:rsid w:val="0031700E"/>
    <w:rsid w:val="00320BDB"/>
    <w:rsid w:val="0032118C"/>
    <w:rsid w:val="003224B7"/>
    <w:rsid w:val="00322C83"/>
    <w:rsid w:val="0032313C"/>
    <w:rsid w:val="003234B2"/>
    <w:rsid w:val="00323510"/>
    <w:rsid w:val="00324B1F"/>
    <w:rsid w:val="00324BE4"/>
    <w:rsid w:val="00327076"/>
    <w:rsid w:val="003270C9"/>
    <w:rsid w:val="00330505"/>
    <w:rsid w:val="00330C8D"/>
    <w:rsid w:val="003319CF"/>
    <w:rsid w:val="00331B18"/>
    <w:rsid w:val="00331C6B"/>
    <w:rsid w:val="00332D11"/>
    <w:rsid w:val="003336B1"/>
    <w:rsid w:val="003336DD"/>
    <w:rsid w:val="00334443"/>
    <w:rsid w:val="00337520"/>
    <w:rsid w:val="0034033F"/>
    <w:rsid w:val="00340DC8"/>
    <w:rsid w:val="0034120B"/>
    <w:rsid w:val="00341971"/>
    <w:rsid w:val="0034201C"/>
    <w:rsid w:val="0034259B"/>
    <w:rsid w:val="00343D49"/>
    <w:rsid w:val="00346655"/>
    <w:rsid w:val="003475D9"/>
    <w:rsid w:val="00350898"/>
    <w:rsid w:val="00351079"/>
    <w:rsid w:val="00351A36"/>
    <w:rsid w:val="00352B90"/>
    <w:rsid w:val="003533F4"/>
    <w:rsid w:val="00353A9C"/>
    <w:rsid w:val="003545EB"/>
    <w:rsid w:val="00355072"/>
    <w:rsid w:val="00355A66"/>
    <w:rsid w:val="00355AC7"/>
    <w:rsid w:val="003605E9"/>
    <w:rsid w:val="00361023"/>
    <w:rsid w:val="00361092"/>
    <w:rsid w:val="00361961"/>
    <w:rsid w:val="00361E94"/>
    <w:rsid w:val="00363BC9"/>
    <w:rsid w:val="00364BE8"/>
    <w:rsid w:val="00364C8A"/>
    <w:rsid w:val="0036561A"/>
    <w:rsid w:val="0036574B"/>
    <w:rsid w:val="00367E4F"/>
    <w:rsid w:val="0037010A"/>
    <w:rsid w:val="00370DFE"/>
    <w:rsid w:val="0037140E"/>
    <w:rsid w:val="00373B59"/>
    <w:rsid w:val="003744FB"/>
    <w:rsid w:val="0037475D"/>
    <w:rsid w:val="003748AE"/>
    <w:rsid w:val="003755FD"/>
    <w:rsid w:val="003803CA"/>
    <w:rsid w:val="00380F80"/>
    <w:rsid w:val="00380FF5"/>
    <w:rsid w:val="00381AAD"/>
    <w:rsid w:val="00384E86"/>
    <w:rsid w:val="00385780"/>
    <w:rsid w:val="00386642"/>
    <w:rsid w:val="00387460"/>
    <w:rsid w:val="0039042A"/>
    <w:rsid w:val="00393447"/>
    <w:rsid w:val="00395594"/>
    <w:rsid w:val="003960B4"/>
    <w:rsid w:val="00396A1D"/>
    <w:rsid w:val="0039797C"/>
    <w:rsid w:val="003A0125"/>
    <w:rsid w:val="003A0530"/>
    <w:rsid w:val="003A178B"/>
    <w:rsid w:val="003A2A64"/>
    <w:rsid w:val="003A3C17"/>
    <w:rsid w:val="003A494F"/>
    <w:rsid w:val="003A4D6B"/>
    <w:rsid w:val="003A5602"/>
    <w:rsid w:val="003A5C59"/>
    <w:rsid w:val="003A6184"/>
    <w:rsid w:val="003A66E2"/>
    <w:rsid w:val="003A6CC8"/>
    <w:rsid w:val="003A7817"/>
    <w:rsid w:val="003A7A6D"/>
    <w:rsid w:val="003A7B0F"/>
    <w:rsid w:val="003B2FFD"/>
    <w:rsid w:val="003B36E8"/>
    <w:rsid w:val="003B4871"/>
    <w:rsid w:val="003B56ED"/>
    <w:rsid w:val="003B6294"/>
    <w:rsid w:val="003B7172"/>
    <w:rsid w:val="003C01AA"/>
    <w:rsid w:val="003C219B"/>
    <w:rsid w:val="003C2533"/>
    <w:rsid w:val="003C44C8"/>
    <w:rsid w:val="003C5041"/>
    <w:rsid w:val="003C7031"/>
    <w:rsid w:val="003C7394"/>
    <w:rsid w:val="003C7834"/>
    <w:rsid w:val="003C7AB6"/>
    <w:rsid w:val="003D0766"/>
    <w:rsid w:val="003D1086"/>
    <w:rsid w:val="003D1C4D"/>
    <w:rsid w:val="003D3088"/>
    <w:rsid w:val="003D4140"/>
    <w:rsid w:val="003D5161"/>
    <w:rsid w:val="003D66E5"/>
    <w:rsid w:val="003D6C72"/>
    <w:rsid w:val="003D7781"/>
    <w:rsid w:val="003E07EE"/>
    <w:rsid w:val="003E1BAA"/>
    <w:rsid w:val="003E2326"/>
    <w:rsid w:val="003E26A5"/>
    <w:rsid w:val="003E2EFE"/>
    <w:rsid w:val="003E3463"/>
    <w:rsid w:val="003E3B7F"/>
    <w:rsid w:val="003E5D5F"/>
    <w:rsid w:val="003E6B2C"/>
    <w:rsid w:val="003F02E4"/>
    <w:rsid w:val="003F0B6A"/>
    <w:rsid w:val="003F0BA0"/>
    <w:rsid w:val="003F1659"/>
    <w:rsid w:val="003F2A23"/>
    <w:rsid w:val="003F2D74"/>
    <w:rsid w:val="003F3F06"/>
    <w:rsid w:val="003F764E"/>
    <w:rsid w:val="004006A8"/>
    <w:rsid w:val="004020CC"/>
    <w:rsid w:val="00403C44"/>
    <w:rsid w:val="004065B4"/>
    <w:rsid w:val="00406C0F"/>
    <w:rsid w:val="004076BF"/>
    <w:rsid w:val="00407DE3"/>
    <w:rsid w:val="00410D43"/>
    <w:rsid w:val="00412206"/>
    <w:rsid w:val="00412A82"/>
    <w:rsid w:val="00413634"/>
    <w:rsid w:val="00416903"/>
    <w:rsid w:val="00417DD3"/>
    <w:rsid w:val="00420250"/>
    <w:rsid w:val="0042085E"/>
    <w:rsid w:val="00420C94"/>
    <w:rsid w:val="00421512"/>
    <w:rsid w:val="00421C6A"/>
    <w:rsid w:val="0042385B"/>
    <w:rsid w:val="00423CCF"/>
    <w:rsid w:val="00425008"/>
    <w:rsid w:val="00425B16"/>
    <w:rsid w:val="00426F64"/>
    <w:rsid w:val="00427AAB"/>
    <w:rsid w:val="004306B0"/>
    <w:rsid w:val="00432ACF"/>
    <w:rsid w:val="004368E6"/>
    <w:rsid w:val="004375C4"/>
    <w:rsid w:val="004407E5"/>
    <w:rsid w:val="0044263D"/>
    <w:rsid w:val="00442786"/>
    <w:rsid w:val="00445193"/>
    <w:rsid w:val="0044540A"/>
    <w:rsid w:val="004459AA"/>
    <w:rsid w:val="00446535"/>
    <w:rsid w:val="004470CF"/>
    <w:rsid w:val="00447B6C"/>
    <w:rsid w:val="004510EE"/>
    <w:rsid w:val="00452A6E"/>
    <w:rsid w:val="00452C37"/>
    <w:rsid w:val="004536CD"/>
    <w:rsid w:val="00453D57"/>
    <w:rsid w:val="00454582"/>
    <w:rsid w:val="0045648A"/>
    <w:rsid w:val="00457419"/>
    <w:rsid w:val="00457943"/>
    <w:rsid w:val="00461DEE"/>
    <w:rsid w:val="00464F10"/>
    <w:rsid w:val="00465BD7"/>
    <w:rsid w:val="004663BA"/>
    <w:rsid w:val="004667EF"/>
    <w:rsid w:val="00467F06"/>
    <w:rsid w:val="004704A2"/>
    <w:rsid w:val="00471714"/>
    <w:rsid w:val="0047187B"/>
    <w:rsid w:val="00472CBC"/>
    <w:rsid w:val="00474391"/>
    <w:rsid w:val="00476B1D"/>
    <w:rsid w:val="004771CF"/>
    <w:rsid w:val="004775A4"/>
    <w:rsid w:val="00480F24"/>
    <w:rsid w:val="00482209"/>
    <w:rsid w:val="00482460"/>
    <w:rsid w:val="00483CFF"/>
    <w:rsid w:val="00483DEA"/>
    <w:rsid w:val="004849C6"/>
    <w:rsid w:val="00485EB9"/>
    <w:rsid w:val="004918DF"/>
    <w:rsid w:val="00491F61"/>
    <w:rsid w:val="004934D0"/>
    <w:rsid w:val="004936CF"/>
    <w:rsid w:val="00494286"/>
    <w:rsid w:val="00494BF7"/>
    <w:rsid w:val="00495633"/>
    <w:rsid w:val="00495CEE"/>
    <w:rsid w:val="004976EB"/>
    <w:rsid w:val="004A114D"/>
    <w:rsid w:val="004A1426"/>
    <w:rsid w:val="004A2571"/>
    <w:rsid w:val="004A285B"/>
    <w:rsid w:val="004A3584"/>
    <w:rsid w:val="004A47B5"/>
    <w:rsid w:val="004B0E5F"/>
    <w:rsid w:val="004B14F7"/>
    <w:rsid w:val="004B16B6"/>
    <w:rsid w:val="004B1B6A"/>
    <w:rsid w:val="004B1FFD"/>
    <w:rsid w:val="004B6EE2"/>
    <w:rsid w:val="004B74ED"/>
    <w:rsid w:val="004C039D"/>
    <w:rsid w:val="004C0529"/>
    <w:rsid w:val="004C157F"/>
    <w:rsid w:val="004C1B38"/>
    <w:rsid w:val="004C21D3"/>
    <w:rsid w:val="004C332C"/>
    <w:rsid w:val="004C3B0D"/>
    <w:rsid w:val="004C771F"/>
    <w:rsid w:val="004C7AA5"/>
    <w:rsid w:val="004D2C3D"/>
    <w:rsid w:val="004D3A90"/>
    <w:rsid w:val="004D3BAB"/>
    <w:rsid w:val="004D676B"/>
    <w:rsid w:val="004D6A0A"/>
    <w:rsid w:val="004D6E64"/>
    <w:rsid w:val="004D720C"/>
    <w:rsid w:val="004D7E78"/>
    <w:rsid w:val="004E116D"/>
    <w:rsid w:val="004E17C1"/>
    <w:rsid w:val="004E3030"/>
    <w:rsid w:val="004E37B2"/>
    <w:rsid w:val="004E3BBC"/>
    <w:rsid w:val="004E41B0"/>
    <w:rsid w:val="004E43DF"/>
    <w:rsid w:val="004E5452"/>
    <w:rsid w:val="004E67DE"/>
    <w:rsid w:val="004F05D5"/>
    <w:rsid w:val="004F106F"/>
    <w:rsid w:val="004F3F4A"/>
    <w:rsid w:val="004F4AE3"/>
    <w:rsid w:val="0050292D"/>
    <w:rsid w:val="00503541"/>
    <w:rsid w:val="00504BB6"/>
    <w:rsid w:val="00505DF6"/>
    <w:rsid w:val="0050621E"/>
    <w:rsid w:val="00512BD4"/>
    <w:rsid w:val="005137B1"/>
    <w:rsid w:val="00514FD7"/>
    <w:rsid w:val="00516F96"/>
    <w:rsid w:val="0052089C"/>
    <w:rsid w:val="00520DD1"/>
    <w:rsid w:val="005223A5"/>
    <w:rsid w:val="00522593"/>
    <w:rsid w:val="00522C64"/>
    <w:rsid w:val="005230A0"/>
    <w:rsid w:val="00524312"/>
    <w:rsid w:val="00524576"/>
    <w:rsid w:val="00525ABA"/>
    <w:rsid w:val="00527641"/>
    <w:rsid w:val="005302B4"/>
    <w:rsid w:val="005303D4"/>
    <w:rsid w:val="005307F0"/>
    <w:rsid w:val="005320F3"/>
    <w:rsid w:val="00532CB1"/>
    <w:rsid w:val="005334E9"/>
    <w:rsid w:val="00533EB7"/>
    <w:rsid w:val="00535472"/>
    <w:rsid w:val="0053625F"/>
    <w:rsid w:val="00536442"/>
    <w:rsid w:val="005365D7"/>
    <w:rsid w:val="005412D6"/>
    <w:rsid w:val="00541FD7"/>
    <w:rsid w:val="0054299A"/>
    <w:rsid w:val="005430DA"/>
    <w:rsid w:val="00545D63"/>
    <w:rsid w:val="00545D70"/>
    <w:rsid w:val="00546316"/>
    <w:rsid w:val="005463FA"/>
    <w:rsid w:val="005469D8"/>
    <w:rsid w:val="005475E5"/>
    <w:rsid w:val="00547EAD"/>
    <w:rsid w:val="00551D33"/>
    <w:rsid w:val="00552C41"/>
    <w:rsid w:val="00554674"/>
    <w:rsid w:val="00555B40"/>
    <w:rsid w:val="005564FE"/>
    <w:rsid w:val="00561F5E"/>
    <w:rsid w:val="00562644"/>
    <w:rsid w:val="00562A49"/>
    <w:rsid w:val="00563EBD"/>
    <w:rsid w:val="005645A6"/>
    <w:rsid w:val="005651B2"/>
    <w:rsid w:val="00570211"/>
    <w:rsid w:val="0057087C"/>
    <w:rsid w:val="005729D4"/>
    <w:rsid w:val="00572B3A"/>
    <w:rsid w:val="0057649C"/>
    <w:rsid w:val="00576B11"/>
    <w:rsid w:val="00577E85"/>
    <w:rsid w:val="00584EDE"/>
    <w:rsid w:val="00585830"/>
    <w:rsid w:val="00587E97"/>
    <w:rsid w:val="005901BF"/>
    <w:rsid w:val="00590944"/>
    <w:rsid w:val="005931D3"/>
    <w:rsid w:val="00593993"/>
    <w:rsid w:val="0059470A"/>
    <w:rsid w:val="005965F6"/>
    <w:rsid w:val="0059698D"/>
    <w:rsid w:val="005A00F8"/>
    <w:rsid w:val="005A06F1"/>
    <w:rsid w:val="005A0A5C"/>
    <w:rsid w:val="005A1232"/>
    <w:rsid w:val="005A151A"/>
    <w:rsid w:val="005A2487"/>
    <w:rsid w:val="005A4AA6"/>
    <w:rsid w:val="005A4F09"/>
    <w:rsid w:val="005A5F14"/>
    <w:rsid w:val="005A7BF3"/>
    <w:rsid w:val="005B12B9"/>
    <w:rsid w:val="005B410D"/>
    <w:rsid w:val="005B4701"/>
    <w:rsid w:val="005B52D6"/>
    <w:rsid w:val="005B71DA"/>
    <w:rsid w:val="005B780A"/>
    <w:rsid w:val="005B784B"/>
    <w:rsid w:val="005B7982"/>
    <w:rsid w:val="005C0003"/>
    <w:rsid w:val="005C3686"/>
    <w:rsid w:val="005C3F0F"/>
    <w:rsid w:val="005C48AD"/>
    <w:rsid w:val="005C48F3"/>
    <w:rsid w:val="005C4E9A"/>
    <w:rsid w:val="005C4F78"/>
    <w:rsid w:val="005C51E9"/>
    <w:rsid w:val="005C5890"/>
    <w:rsid w:val="005C6312"/>
    <w:rsid w:val="005C6331"/>
    <w:rsid w:val="005C6CE3"/>
    <w:rsid w:val="005C6E7A"/>
    <w:rsid w:val="005C7323"/>
    <w:rsid w:val="005C789B"/>
    <w:rsid w:val="005C7F08"/>
    <w:rsid w:val="005D0CBE"/>
    <w:rsid w:val="005D41C4"/>
    <w:rsid w:val="005D43F4"/>
    <w:rsid w:val="005D5E66"/>
    <w:rsid w:val="005D6362"/>
    <w:rsid w:val="005D6E6B"/>
    <w:rsid w:val="005D7B12"/>
    <w:rsid w:val="005E3786"/>
    <w:rsid w:val="005E48F4"/>
    <w:rsid w:val="005E4992"/>
    <w:rsid w:val="005E4ECF"/>
    <w:rsid w:val="005E51D3"/>
    <w:rsid w:val="005E5F96"/>
    <w:rsid w:val="005E6BA3"/>
    <w:rsid w:val="005E6CDB"/>
    <w:rsid w:val="005E7DE3"/>
    <w:rsid w:val="005F016C"/>
    <w:rsid w:val="005F0437"/>
    <w:rsid w:val="005F098F"/>
    <w:rsid w:val="005F22A1"/>
    <w:rsid w:val="005F330E"/>
    <w:rsid w:val="005F3B4F"/>
    <w:rsid w:val="005F42F3"/>
    <w:rsid w:val="005F5C96"/>
    <w:rsid w:val="00601AAB"/>
    <w:rsid w:val="006030EE"/>
    <w:rsid w:val="0060476D"/>
    <w:rsid w:val="00605A66"/>
    <w:rsid w:val="00605B51"/>
    <w:rsid w:val="0060630F"/>
    <w:rsid w:val="00606827"/>
    <w:rsid w:val="00606C3D"/>
    <w:rsid w:val="00606F67"/>
    <w:rsid w:val="006107B2"/>
    <w:rsid w:val="00610E60"/>
    <w:rsid w:val="006113C5"/>
    <w:rsid w:val="00611D48"/>
    <w:rsid w:val="00611F44"/>
    <w:rsid w:val="0061277E"/>
    <w:rsid w:val="00613A85"/>
    <w:rsid w:val="00615BEA"/>
    <w:rsid w:val="0062006B"/>
    <w:rsid w:val="006203FD"/>
    <w:rsid w:val="0062068B"/>
    <w:rsid w:val="00621856"/>
    <w:rsid w:val="00622240"/>
    <w:rsid w:val="0062433E"/>
    <w:rsid w:val="0062523D"/>
    <w:rsid w:val="006255CA"/>
    <w:rsid w:val="0062591A"/>
    <w:rsid w:val="00626B25"/>
    <w:rsid w:val="0062727F"/>
    <w:rsid w:val="00627A00"/>
    <w:rsid w:val="006306FA"/>
    <w:rsid w:val="0063330F"/>
    <w:rsid w:val="006342F4"/>
    <w:rsid w:val="00634390"/>
    <w:rsid w:val="00636507"/>
    <w:rsid w:val="00641186"/>
    <w:rsid w:val="00642825"/>
    <w:rsid w:val="00642C5E"/>
    <w:rsid w:val="006438AE"/>
    <w:rsid w:val="00643BF0"/>
    <w:rsid w:val="00645433"/>
    <w:rsid w:val="006458DB"/>
    <w:rsid w:val="00645F0E"/>
    <w:rsid w:val="00646540"/>
    <w:rsid w:val="006474EE"/>
    <w:rsid w:val="0065032F"/>
    <w:rsid w:val="006510D6"/>
    <w:rsid w:val="006531E1"/>
    <w:rsid w:val="00655B5D"/>
    <w:rsid w:val="00655E93"/>
    <w:rsid w:val="00656A09"/>
    <w:rsid w:val="0066124A"/>
    <w:rsid w:val="006615F4"/>
    <w:rsid w:val="006632D5"/>
    <w:rsid w:val="006648F2"/>
    <w:rsid w:val="006657A7"/>
    <w:rsid w:val="00665CE4"/>
    <w:rsid w:val="00666D88"/>
    <w:rsid w:val="00671DD3"/>
    <w:rsid w:val="0067480F"/>
    <w:rsid w:val="00674E63"/>
    <w:rsid w:val="00677145"/>
    <w:rsid w:val="00677AC4"/>
    <w:rsid w:val="00677B21"/>
    <w:rsid w:val="00677C0C"/>
    <w:rsid w:val="006814BC"/>
    <w:rsid w:val="006840A2"/>
    <w:rsid w:val="00685309"/>
    <w:rsid w:val="006854DA"/>
    <w:rsid w:val="00686078"/>
    <w:rsid w:val="006870FB"/>
    <w:rsid w:val="00687FC2"/>
    <w:rsid w:val="00691290"/>
    <w:rsid w:val="00691E4B"/>
    <w:rsid w:val="00692217"/>
    <w:rsid w:val="0069346C"/>
    <w:rsid w:val="00695213"/>
    <w:rsid w:val="00696A4E"/>
    <w:rsid w:val="006A03C8"/>
    <w:rsid w:val="006A1659"/>
    <w:rsid w:val="006A49F5"/>
    <w:rsid w:val="006A6C89"/>
    <w:rsid w:val="006A739D"/>
    <w:rsid w:val="006A75C2"/>
    <w:rsid w:val="006A7B6D"/>
    <w:rsid w:val="006B0D64"/>
    <w:rsid w:val="006B0E64"/>
    <w:rsid w:val="006B1324"/>
    <w:rsid w:val="006B1512"/>
    <w:rsid w:val="006B3512"/>
    <w:rsid w:val="006B3A71"/>
    <w:rsid w:val="006B3B69"/>
    <w:rsid w:val="006B3C87"/>
    <w:rsid w:val="006B4976"/>
    <w:rsid w:val="006B7457"/>
    <w:rsid w:val="006C0387"/>
    <w:rsid w:val="006C1002"/>
    <w:rsid w:val="006C107A"/>
    <w:rsid w:val="006C12E7"/>
    <w:rsid w:val="006C3B30"/>
    <w:rsid w:val="006C489A"/>
    <w:rsid w:val="006D0113"/>
    <w:rsid w:val="006D0709"/>
    <w:rsid w:val="006D1822"/>
    <w:rsid w:val="006D2036"/>
    <w:rsid w:val="006D2432"/>
    <w:rsid w:val="006D2E34"/>
    <w:rsid w:val="006D39C5"/>
    <w:rsid w:val="006D3EA4"/>
    <w:rsid w:val="006D49D5"/>
    <w:rsid w:val="006D5889"/>
    <w:rsid w:val="006D5E21"/>
    <w:rsid w:val="006D6905"/>
    <w:rsid w:val="006D6B18"/>
    <w:rsid w:val="006D767C"/>
    <w:rsid w:val="006D78B9"/>
    <w:rsid w:val="006E0439"/>
    <w:rsid w:val="006E0B32"/>
    <w:rsid w:val="006E177E"/>
    <w:rsid w:val="006E196B"/>
    <w:rsid w:val="006E3C1A"/>
    <w:rsid w:val="006E3EC6"/>
    <w:rsid w:val="006E40C3"/>
    <w:rsid w:val="006E58D1"/>
    <w:rsid w:val="006E6083"/>
    <w:rsid w:val="006F0BBC"/>
    <w:rsid w:val="006F0E44"/>
    <w:rsid w:val="006F105D"/>
    <w:rsid w:val="006F12EE"/>
    <w:rsid w:val="006F16E8"/>
    <w:rsid w:val="006F2D04"/>
    <w:rsid w:val="006F35F2"/>
    <w:rsid w:val="006F4416"/>
    <w:rsid w:val="006F4589"/>
    <w:rsid w:val="006F4B85"/>
    <w:rsid w:val="006F4DC0"/>
    <w:rsid w:val="006F4F5B"/>
    <w:rsid w:val="006F6151"/>
    <w:rsid w:val="006F6F43"/>
    <w:rsid w:val="006F7F13"/>
    <w:rsid w:val="00700B01"/>
    <w:rsid w:val="007030C5"/>
    <w:rsid w:val="0070376D"/>
    <w:rsid w:val="007037DC"/>
    <w:rsid w:val="00703F0C"/>
    <w:rsid w:val="007058FA"/>
    <w:rsid w:val="007059CD"/>
    <w:rsid w:val="007063E7"/>
    <w:rsid w:val="00706DBC"/>
    <w:rsid w:val="007103A6"/>
    <w:rsid w:val="007105F8"/>
    <w:rsid w:val="0071137B"/>
    <w:rsid w:val="00711AAD"/>
    <w:rsid w:val="0071217C"/>
    <w:rsid w:val="00713C66"/>
    <w:rsid w:val="00713CEB"/>
    <w:rsid w:val="007157DE"/>
    <w:rsid w:val="0071593E"/>
    <w:rsid w:val="00716623"/>
    <w:rsid w:val="00717375"/>
    <w:rsid w:val="00717D37"/>
    <w:rsid w:val="007202E3"/>
    <w:rsid w:val="0072179F"/>
    <w:rsid w:val="007231B3"/>
    <w:rsid w:val="007239C1"/>
    <w:rsid w:val="0072445A"/>
    <w:rsid w:val="00724E61"/>
    <w:rsid w:val="0072576B"/>
    <w:rsid w:val="00726AAD"/>
    <w:rsid w:val="0072750F"/>
    <w:rsid w:val="00731948"/>
    <w:rsid w:val="00733255"/>
    <w:rsid w:val="00736B67"/>
    <w:rsid w:val="00737783"/>
    <w:rsid w:val="00737E20"/>
    <w:rsid w:val="007427B7"/>
    <w:rsid w:val="0074298A"/>
    <w:rsid w:val="007429D5"/>
    <w:rsid w:val="00745038"/>
    <w:rsid w:val="007451CB"/>
    <w:rsid w:val="007457B7"/>
    <w:rsid w:val="007469E4"/>
    <w:rsid w:val="007512AF"/>
    <w:rsid w:val="00751822"/>
    <w:rsid w:val="00751E89"/>
    <w:rsid w:val="00751F90"/>
    <w:rsid w:val="00752710"/>
    <w:rsid w:val="00753470"/>
    <w:rsid w:val="00755AC2"/>
    <w:rsid w:val="00757EFA"/>
    <w:rsid w:val="00760926"/>
    <w:rsid w:val="00761ABB"/>
    <w:rsid w:val="00762859"/>
    <w:rsid w:val="0076289C"/>
    <w:rsid w:val="00762AA7"/>
    <w:rsid w:val="00763194"/>
    <w:rsid w:val="007639BE"/>
    <w:rsid w:val="00764DF5"/>
    <w:rsid w:val="007655A1"/>
    <w:rsid w:val="00765808"/>
    <w:rsid w:val="0076587D"/>
    <w:rsid w:val="0076659F"/>
    <w:rsid w:val="007668C1"/>
    <w:rsid w:val="00767441"/>
    <w:rsid w:val="00767DD4"/>
    <w:rsid w:val="00770C0A"/>
    <w:rsid w:val="007710A3"/>
    <w:rsid w:val="00771CDC"/>
    <w:rsid w:val="0077645D"/>
    <w:rsid w:val="00777EEA"/>
    <w:rsid w:val="00780635"/>
    <w:rsid w:val="007811CA"/>
    <w:rsid w:val="00782549"/>
    <w:rsid w:val="00782BF1"/>
    <w:rsid w:val="00783321"/>
    <w:rsid w:val="00784921"/>
    <w:rsid w:val="007849BA"/>
    <w:rsid w:val="00785B96"/>
    <w:rsid w:val="00790324"/>
    <w:rsid w:val="00792561"/>
    <w:rsid w:val="00792A8A"/>
    <w:rsid w:val="00793824"/>
    <w:rsid w:val="00793D75"/>
    <w:rsid w:val="0079482A"/>
    <w:rsid w:val="00794D7C"/>
    <w:rsid w:val="00794EBC"/>
    <w:rsid w:val="00794F34"/>
    <w:rsid w:val="007960FD"/>
    <w:rsid w:val="007A0A61"/>
    <w:rsid w:val="007A15FC"/>
    <w:rsid w:val="007A31F0"/>
    <w:rsid w:val="007A3739"/>
    <w:rsid w:val="007A47FD"/>
    <w:rsid w:val="007A48F3"/>
    <w:rsid w:val="007B0287"/>
    <w:rsid w:val="007B0C25"/>
    <w:rsid w:val="007B0CB0"/>
    <w:rsid w:val="007B1F14"/>
    <w:rsid w:val="007B20A3"/>
    <w:rsid w:val="007B23CE"/>
    <w:rsid w:val="007B2565"/>
    <w:rsid w:val="007B3004"/>
    <w:rsid w:val="007B3B6F"/>
    <w:rsid w:val="007B5A95"/>
    <w:rsid w:val="007B65B9"/>
    <w:rsid w:val="007B7831"/>
    <w:rsid w:val="007B7A20"/>
    <w:rsid w:val="007C24C7"/>
    <w:rsid w:val="007C30FF"/>
    <w:rsid w:val="007C4DE8"/>
    <w:rsid w:val="007C64E3"/>
    <w:rsid w:val="007C65C4"/>
    <w:rsid w:val="007C692E"/>
    <w:rsid w:val="007C6BD3"/>
    <w:rsid w:val="007C6E3E"/>
    <w:rsid w:val="007C7336"/>
    <w:rsid w:val="007C77D9"/>
    <w:rsid w:val="007D1259"/>
    <w:rsid w:val="007D62D6"/>
    <w:rsid w:val="007D6748"/>
    <w:rsid w:val="007D7917"/>
    <w:rsid w:val="007D79F1"/>
    <w:rsid w:val="007D7AAA"/>
    <w:rsid w:val="007E07E1"/>
    <w:rsid w:val="007E08AD"/>
    <w:rsid w:val="007E2E48"/>
    <w:rsid w:val="007E3E72"/>
    <w:rsid w:val="007E4096"/>
    <w:rsid w:val="007E5918"/>
    <w:rsid w:val="007E5D3D"/>
    <w:rsid w:val="007F0D58"/>
    <w:rsid w:val="007F158B"/>
    <w:rsid w:val="007F1FC1"/>
    <w:rsid w:val="007F23AF"/>
    <w:rsid w:val="007F3693"/>
    <w:rsid w:val="007F3ED9"/>
    <w:rsid w:val="007F4D73"/>
    <w:rsid w:val="007F502C"/>
    <w:rsid w:val="007F7327"/>
    <w:rsid w:val="007F7786"/>
    <w:rsid w:val="00800493"/>
    <w:rsid w:val="00801034"/>
    <w:rsid w:val="00803610"/>
    <w:rsid w:val="008041FD"/>
    <w:rsid w:val="0080449B"/>
    <w:rsid w:val="008053CE"/>
    <w:rsid w:val="0080628F"/>
    <w:rsid w:val="00806AC6"/>
    <w:rsid w:val="008109F7"/>
    <w:rsid w:val="00811838"/>
    <w:rsid w:val="00812027"/>
    <w:rsid w:val="00813096"/>
    <w:rsid w:val="00816BF1"/>
    <w:rsid w:val="00816CB9"/>
    <w:rsid w:val="0081747E"/>
    <w:rsid w:val="008204DE"/>
    <w:rsid w:val="00820DB9"/>
    <w:rsid w:val="00822DE8"/>
    <w:rsid w:val="00823C35"/>
    <w:rsid w:val="00824746"/>
    <w:rsid w:val="00826006"/>
    <w:rsid w:val="008274F9"/>
    <w:rsid w:val="00831F73"/>
    <w:rsid w:val="008333AE"/>
    <w:rsid w:val="008335F7"/>
    <w:rsid w:val="00833980"/>
    <w:rsid w:val="008346AD"/>
    <w:rsid w:val="00836025"/>
    <w:rsid w:val="00836869"/>
    <w:rsid w:val="00836B5E"/>
    <w:rsid w:val="00837972"/>
    <w:rsid w:val="008402D0"/>
    <w:rsid w:val="008415AC"/>
    <w:rsid w:val="00842D96"/>
    <w:rsid w:val="008436B5"/>
    <w:rsid w:val="0084462A"/>
    <w:rsid w:val="00845015"/>
    <w:rsid w:val="008458C4"/>
    <w:rsid w:val="00845FCB"/>
    <w:rsid w:val="00846FDD"/>
    <w:rsid w:val="0084776F"/>
    <w:rsid w:val="0085082F"/>
    <w:rsid w:val="00850D32"/>
    <w:rsid w:val="0085164C"/>
    <w:rsid w:val="00852913"/>
    <w:rsid w:val="0085372B"/>
    <w:rsid w:val="0085483A"/>
    <w:rsid w:val="008555D8"/>
    <w:rsid w:val="00855A83"/>
    <w:rsid w:val="00856C4D"/>
    <w:rsid w:val="008601CF"/>
    <w:rsid w:val="00861476"/>
    <w:rsid w:val="00861752"/>
    <w:rsid w:val="00862856"/>
    <w:rsid w:val="00862E95"/>
    <w:rsid w:val="00863311"/>
    <w:rsid w:val="00863A81"/>
    <w:rsid w:val="00863F62"/>
    <w:rsid w:val="0086516A"/>
    <w:rsid w:val="008661E9"/>
    <w:rsid w:val="008724C8"/>
    <w:rsid w:val="008724EC"/>
    <w:rsid w:val="00872838"/>
    <w:rsid w:val="00873807"/>
    <w:rsid w:val="00874F0F"/>
    <w:rsid w:val="00876BC5"/>
    <w:rsid w:val="00877975"/>
    <w:rsid w:val="00880848"/>
    <w:rsid w:val="00880BA2"/>
    <w:rsid w:val="00882872"/>
    <w:rsid w:val="00883D2D"/>
    <w:rsid w:val="00884D57"/>
    <w:rsid w:val="00884F47"/>
    <w:rsid w:val="008860CE"/>
    <w:rsid w:val="00887A43"/>
    <w:rsid w:val="00890051"/>
    <w:rsid w:val="008911B1"/>
    <w:rsid w:val="00892470"/>
    <w:rsid w:val="00892E01"/>
    <w:rsid w:val="0089492C"/>
    <w:rsid w:val="00895DA2"/>
    <w:rsid w:val="00896F12"/>
    <w:rsid w:val="00897EE4"/>
    <w:rsid w:val="008A41E7"/>
    <w:rsid w:val="008A6357"/>
    <w:rsid w:val="008A72AF"/>
    <w:rsid w:val="008A76C5"/>
    <w:rsid w:val="008A796E"/>
    <w:rsid w:val="008B112F"/>
    <w:rsid w:val="008B3F2A"/>
    <w:rsid w:val="008B4456"/>
    <w:rsid w:val="008B60FE"/>
    <w:rsid w:val="008B6424"/>
    <w:rsid w:val="008B6FE3"/>
    <w:rsid w:val="008B7968"/>
    <w:rsid w:val="008C0B9F"/>
    <w:rsid w:val="008C19C3"/>
    <w:rsid w:val="008C36D0"/>
    <w:rsid w:val="008C3774"/>
    <w:rsid w:val="008C696C"/>
    <w:rsid w:val="008C6A7E"/>
    <w:rsid w:val="008C6E14"/>
    <w:rsid w:val="008C715D"/>
    <w:rsid w:val="008C7169"/>
    <w:rsid w:val="008D1630"/>
    <w:rsid w:val="008D5FEB"/>
    <w:rsid w:val="008D6F48"/>
    <w:rsid w:val="008D74BB"/>
    <w:rsid w:val="008D7EDB"/>
    <w:rsid w:val="008E20E7"/>
    <w:rsid w:val="008E3CCA"/>
    <w:rsid w:val="008E4F88"/>
    <w:rsid w:val="008E664F"/>
    <w:rsid w:val="008E6E27"/>
    <w:rsid w:val="008E7D9D"/>
    <w:rsid w:val="008F0551"/>
    <w:rsid w:val="008F061F"/>
    <w:rsid w:val="008F1BA3"/>
    <w:rsid w:val="008F2A05"/>
    <w:rsid w:val="008F4CF4"/>
    <w:rsid w:val="008F536E"/>
    <w:rsid w:val="008F6765"/>
    <w:rsid w:val="008F74D6"/>
    <w:rsid w:val="009016EA"/>
    <w:rsid w:val="009020AA"/>
    <w:rsid w:val="00902818"/>
    <w:rsid w:val="009030B5"/>
    <w:rsid w:val="009032D8"/>
    <w:rsid w:val="00903616"/>
    <w:rsid w:val="00904FC2"/>
    <w:rsid w:val="00905094"/>
    <w:rsid w:val="009102B7"/>
    <w:rsid w:val="00912DCB"/>
    <w:rsid w:val="00913BB0"/>
    <w:rsid w:val="009155E9"/>
    <w:rsid w:val="00915868"/>
    <w:rsid w:val="00916DA4"/>
    <w:rsid w:val="0092108B"/>
    <w:rsid w:val="00922C77"/>
    <w:rsid w:val="00922FA1"/>
    <w:rsid w:val="00923868"/>
    <w:rsid w:val="00923BF0"/>
    <w:rsid w:val="0092472D"/>
    <w:rsid w:val="00924A2E"/>
    <w:rsid w:val="009262EB"/>
    <w:rsid w:val="00926713"/>
    <w:rsid w:val="00926869"/>
    <w:rsid w:val="009277E7"/>
    <w:rsid w:val="009305C7"/>
    <w:rsid w:val="00930AE0"/>
    <w:rsid w:val="00930C04"/>
    <w:rsid w:val="00931B59"/>
    <w:rsid w:val="00932D6D"/>
    <w:rsid w:val="00933BC7"/>
    <w:rsid w:val="00934902"/>
    <w:rsid w:val="00934A97"/>
    <w:rsid w:val="00935510"/>
    <w:rsid w:val="00936C63"/>
    <w:rsid w:val="0093757F"/>
    <w:rsid w:val="00937CC2"/>
    <w:rsid w:val="00940057"/>
    <w:rsid w:val="00940B7D"/>
    <w:rsid w:val="009410DD"/>
    <w:rsid w:val="009415E1"/>
    <w:rsid w:val="0094200A"/>
    <w:rsid w:val="00942128"/>
    <w:rsid w:val="00944839"/>
    <w:rsid w:val="00945427"/>
    <w:rsid w:val="009468BC"/>
    <w:rsid w:val="00947D12"/>
    <w:rsid w:val="009508A6"/>
    <w:rsid w:val="0095170B"/>
    <w:rsid w:val="00951764"/>
    <w:rsid w:val="00951E03"/>
    <w:rsid w:val="00952C3B"/>
    <w:rsid w:val="0095414C"/>
    <w:rsid w:val="0095580D"/>
    <w:rsid w:val="00956D6C"/>
    <w:rsid w:val="009621D4"/>
    <w:rsid w:val="0096329F"/>
    <w:rsid w:val="009643A9"/>
    <w:rsid w:val="00966231"/>
    <w:rsid w:val="009720EE"/>
    <w:rsid w:val="00972221"/>
    <w:rsid w:val="00972E0E"/>
    <w:rsid w:val="00973972"/>
    <w:rsid w:val="00974712"/>
    <w:rsid w:val="009763E0"/>
    <w:rsid w:val="00976E02"/>
    <w:rsid w:val="00976E82"/>
    <w:rsid w:val="009771C0"/>
    <w:rsid w:val="00980321"/>
    <w:rsid w:val="00981E1B"/>
    <w:rsid w:val="00982E05"/>
    <w:rsid w:val="00983C73"/>
    <w:rsid w:val="009842D1"/>
    <w:rsid w:val="009862B9"/>
    <w:rsid w:val="009866F7"/>
    <w:rsid w:val="00986D98"/>
    <w:rsid w:val="00987073"/>
    <w:rsid w:val="00993AB8"/>
    <w:rsid w:val="00993EB2"/>
    <w:rsid w:val="00994618"/>
    <w:rsid w:val="00995148"/>
    <w:rsid w:val="00997EDF"/>
    <w:rsid w:val="009A1193"/>
    <w:rsid w:val="009A5065"/>
    <w:rsid w:val="009A513A"/>
    <w:rsid w:val="009A529B"/>
    <w:rsid w:val="009A5DAD"/>
    <w:rsid w:val="009A6B0C"/>
    <w:rsid w:val="009A7DF8"/>
    <w:rsid w:val="009B1924"/>
    <w:rsid w:val="009B29EE"/>
    <w:rsid w:val="009B573A"/>
    <w:rsid w:val="009B72C9"/>
    <w:rsid w:val="009C0FD0"/>
    <w:rsid w:val="009C1B96"/>
    <w:rsid w:val="009C31F7"/>
    <w:rsid w:val="009C36A3"/>
    <w:rsid w:val="009C49ED"/>
    <w:rsid w:val="009C6249"/>
    <w:rsid w:val="009C7849"/>
    <w:rsid w:val="009D0452"/>
    <w:rsid w:val="009D050A"/>
    <w:rsid w:val="009D05E5"/>
    <w:rsid w:val="009D1ED2"/>
    <w:rsid w:val="009D25DA"/>
    <w:rsid w:val="009D273F"/>
    <w:rsid w:val="009D33DC"/>
    <w:rsid w:val="009D3848"/>
    <w:rsid w:val="009D3B32"/>
    <w:rsid w:val="009D5E78"/>
    <w:rsid w:val="009D6EC4"/>
    <w:rsid w:val="009E09A8"/>
    <w:rsid w:val="009E0C3B"/>
    <w:rsid w:val="009E4539"/>
    <w:rsid w:val="009E7519"/>
    <w:rsid w:val="009E7795"/>
    <w:rsid w:val="009E7BA9"/>
    <w:rsid w:val="009F17B0"/>
    <w:rsid w:val="009F190F"/>
    <w:rsid w:val="009F1B47"/>
    <w:rsid w:val="009F231A"/>
    <w:rsid w:val="009F3887"/>
    <w:rsid w:val="009F3EA0"/>
    <w:rsid w:val="009F4385"/>
    <w:rsid w:val="009F6697"/>
    <w:rsid w:val="009F7DBE"/>
    <w:rsid w:val="00A00385"/>
    <w:rsid w:val="00A00813"/>
    <w:rsid w:val="00A00B9C"/>
    <w:rsid w:val="00A00D54"/>
    <w:rsid w:val="00A01241"/>
    <w:rsid w:val="00A01AF6"/>
    <w:rsid w:val="00A0302F"/>
    <w:rsid w:val="00A035D6"/>
    <w:rsid w:val="00A060AE"/>
    <w:rsid w:val="00A07A82"/>
    <w:rsid w:val="00A07DC3"/>
    <w:rsid w:val="00A07F34"/>
    <w:rsid w:val="00A112AF"/>
    <w:rsid w:val="00A129E9"/>
    <w:rsid w:val="00A13A19"/>
    <w:rsid w:val="00A14A48"/>
    <w:rsid w:val="00A152F7"/>
    <w:rsid w:val="00A162F0"/>
    <w:rsid w:val="00A16399"/>
    <w:rsid w:val="00A1640A"/>
    <w:rsid w:val="00A16CD4"/>
    <w:rsid w:val="00A1789C"/>
    <w:rsid w:val="00A20091"/>
    <w:rsid w:val="00A2071E"/>
    <w:rsid w:val="00A2112B"/>
    <w:rsid w:val="00A2166D"/>
    <w:rsid w:val="00A21BB9"/>
    <w:rsid w:val="00A23756"/>
    <w:rsid w:val="00A2570A"/>
    <w:rsid w:val="00A259BA"/>
    <w:rsid w:val="00A263B5"/>
    <w:rsid w:val="00A27212"/>
    <w:rsid w:val="00A3040B"/>
    <w:rsid w:val="00A308CC"/>
    <w:rsid w:val="00A30F95"/>
    <w:rsid w:val="00A31020"/>
    <w:rsid w:val="00A313EB"/>
    <w:rsid w:val="00A327C1"/>
    <w:rsid w:val="00A329FC"/>
    <w:rsid w:val="00A33802"/>
    <w:rsid w:val="00A33918"/>
    <w:rsid w:val="00A35F63"/>
    <w:rsid w:val="00A40417"/>
    <w:rsid w:val="00A41BB8"/>
    <w:rsid w:val="00A421AF"/>
    <w:rsid w:val="00A42450"/>
    <w:rsid w:val="00A42CC1"/>
    <w:rsid w:val="00A42FD1"/>
    <w:rsid w:val="00A45BFE"/>
    <w:rsid w:val="00A46AB4"/>
    <w:rsid w:val="00A46BD8"/>
    <w:rsid w:val="00A501A1"/>
    <w:rsid w:val="00A5325B"/>
    <w:rsid w:val="00A5346E"/>
    <w:rsid w:val="00A54D70"/>
    <w:rsid w:val="00A57AE3"/>
    <w:rsid w:val="00A6041D"/>
    <w:rsid w:val="00A61360"/>
    <w:rsid w:val="00A636DD"/>
    <w:rsid w:val="00A63831"/>
    <w:rsid w:val="00A6447F"/>
    <w:rsid w:val="00A646EA"/>
    <w:rsid w:val="00A64BE0"/>
    <w:rsid w:val="00A6560D"/>
    <w:rsid w:val="00A705C0"/>
    <w:rsid w:val="00A722B5"/>
    <w:rsid w:val="00A72CF2"/>
    <w:rsid w:val="00A741A9"/>
    <w:rsid w:val="00A7489F"/>
    <w:rsid w:val="00A749D2"/>
    <w:rsid w:val="00A77026"/>
    <w:rsid w:val="00A80188"/>
    <w:rsid w:val="00A80444"/>
    <w:rsid w:val="00A8118F"/>
    <w:rsid w:val="00A82CC0"/>
    <w:rsid w:val="00A84CDB"/>
    <w:rsid w:val="00A85F8D"/>
    <w:rsid w:val="00A8633D"/>
    <w:rsid w:val="00A8718F"/>
    <w:rsid w:val="00A933EE"/>
    <w:rsid w:val="00A93701"/>
    <w:rsid w:val="00A9423E"/>
    <w:rsid w:val="00AA17B6"/>
    <w:rsid w:val="00AA1C47"/>
    <w:rsid w:val="00AA3047"/>
    <w:rsid w:val="00AA3A40"/>
    <w:rsid w:val="00AA5BE0"/>
    <w:rsid w:val="00AB0AA5"/>
    <w:rsid w:val="00AB547F"/>
    <w:rsid w:val="00AC0BCD"/>
    <w:rsid w:val="00AC281E"/>
    <w:rsid w:val="00AC4566"/>
    <w:rsid w:val="00AC61B1"/>
    <w:rsid w:val="00AD0ECF"/>
    <w:rsid w:val="00AD2DD9"/>
    <w:rsid w:val="00AD5163"/>
    <w:rsid w:val="00AD5420"/>
    <w:rsid w:val="00AD5432"/>
    <w:rsid w:val="00AD56A0"/>
    <w:rsid w:val="00AD5E7D"/>
    <w:rsid w:val="00AD61DE"/>
    <w:rsid w:val="00AD72C8"/>
    <w:rsid w:val="00AE0678"/>
    <w:rsid w:val="00AE087C"/>
    <w:rsid w:val="00AE0C12"/>
    <w:rsid w:val="00AE1611"/>
    <w:rsid w:val="00AE25EE"/>
    <w:rsid w:val="00AE45AF"/>
    <w:rsid w:val="00AE46FA"/>
    <w:rsid w:val="00AE5590"/>
    <w:rsid w:val="00AE60D9"/>
    <w:rsid w:val="00AF18F1"/>
    <w:rsid w:val="00AF32CB"/>
    <w:rsid w:val="00AF40EE"/>
    <w:rsid w:val="00AF442C"/>
    <w:rsid w:val="00AF5686"/>
    <w:rsid w:val="00AF6068"/>
    <w:rsid w:val="00B0041A"/>
    <w:rsid w:val="00B01993"/>
    <w:rsid w:val="00B02276"/>
    <w:rsid w:val="00B03166"/>
    <w:rsid w:val="00B0441E"/>
    <w:rsid w:val="00B06559"/>
    <w:rsid w:val="00B07D72"/>
    <w:rsid w:val="00B114CE"/>
    <w:rsid w:val="00B11B84"/>
    <w:rsid w:val="00B12397"/>
    <w:rsid w:val="00B12D3D"/>
    <w:rsid w:val="00B12E66"/>
    <w:rsid w:val="00B16532"/>
    <w:rsid w:val="00B16DAE"/>
    <w:rsid w:val="00B17508"/>
    <w:rsid w:val="00B177A6"/>
    <w:rsid w:val="00B208E4"/>
    <w:rsid w:val="00B21691"/>
    <w:rsid w:val="00B22016"/>
    <w:rsid w:val="00B2293A"/>
    <w:rsid w:val="00B22A52"/>
    <w:rsid w:val="00B2465C"/>
    <w:rsid w:val="00B24F00"/>
    <w:rsid w:val="00B25BC7"/>
    <w:rsid w:val="00B27E40"/>
    <w:rsid w:val="00B27FE1"/>
    <w:rsid w:val="00B30D85"/>
    <w:rsid w:val="00B31233"/>
    <w:rsid w:val="00B31F63"/>
    <w:rsid w:val="00B32258"/>
    <w:rsid w:val="00B322E4"/>
    <w:rsid w:val="00B325F6"/>
    <w:rsid w:val="00B331A9"/>
    <w:rsid w:val="00B345CF"/>
    <w:rsid w:val="00B37938"/>
    <w:rsid w:val="00B400B6"/>
    <w:rsid w:val="00B40D25"/>
    <w:rsid w:val="00B433EA"/>
    <w:rsid w:val="00B4529F"/>
    <w:rsid w:val="00B46BB7"/>
    <w:rsid w:val="00B471FE"/>
    <w:rsid w:val="00B4760E"/>
    <w:rsid w:val="00B502C9"/>
    <w:rsid w:val="00B50528"/>
    <w:rsid w:val="00B5245A"/>
    <w:rsid w:val="00B524C6"/>
    <w:rsid w:val="00B53D1D"/>
    <w:rsid w:val="00B540B9"/>
    <w:rsid w:val="00B54AD3"/>
    <w:rsid w:val="00B569A0"/>
    <w:rsid w:val="00B618AF"/>
    <w:rsid w:val="00B621C9"/>
    <w:rsid w:val="00B63546"/>
    <w:rsid w:val="00B63E36"/>
    <w:rsid w:val="00B64D30"/>
    <w:rsid w:val="00B65090"/>
    <w:rsid w:val="00B65B32"/>
    <w:rsid w:val="00B66201"/>
    <w:rsid w:val="00B703A7"/>
    <w:rsid w:val="00B71BE6"/>
    <w:rsid w:val="00B72D01"/>
    <w:rsid w:val="00B76178"/>
    <w:rsid w:val="00B77B38"/>
    <w:rsid w:val="00B800BC"/>
    <w:rsid w:val="00B80E1E"/>
    <w:rsid w:val="00B81577"/>
    <w:rsid w:val="00B82057"/>
    <w:rsid w:val="00B84412"/>
    <w:rsid w:val="00B85CBA"/>
    <w:rsid w:val="00B9114C"/>
    <w:rsid w:val="00B91A2E"/>
    <w:rsid w:val="00B91ECB"/>
    <w:rsid w:val="00B92770"/>
    <w:rsid w:val="00B92946"/>
    <w:rsid w:val="00B944BD"/>
    <w:rsid w:val="00B95577"/>
    <w:rsid w:val="00B95F46"/>
    <w:rsid w:val="00B96D55"/>
    <w:rsid w:val="00BA052D"/>
    <w:rsid w:val="00BA0E46"/>
    <w:rsid w:val="00BA350D"/>
    <w:rsid w:val="00BA46C8"/>
    <w:rsid w:val="00BA4D98"/>
    <w:rsid w:val="00BA59DF"/>
    <w:rsid w:val="00BB034B"/>
    <w:rsid w:val="00BB0C35"/>
    <w:rsid w:val="00BB100E"/>
    <w:rsid w:val="00BB23A4"/>
    <w:rsid w:val="00BB2CBA"/>
    <w:rsid w:val="00BB66C6"/>
    <w:rsid w:val="00BC031A"/>
    <w:rsid w:val="00BC19FB"/>
    <w:rsid w:val="00BC2437"/>
    <w:rsid w:val="00BC2D43"/>
    <w:rsid w:val="00BC3274"/>
    <w:rsid w:val="00BC4002"/>
    <w:rsid w:val="00BC72E8"/>
    <w:rsid w:val="00BC79DB"/>
    <w:rsid w:val="00BC7C9F"/>
    <w:rsid w:val="00BD32DA"/>
    <w:rsid w:val="00BD6264"/>
    <w:rsid w:val="00BD68A5"/>
    <w:rsid w:val="00BD6A34"/>
    <w:rsid w:val="00BD6D10"/>
    <w:rsid w:val="00BD7999"/>
    <w:rsid w:val="00BE0FF6"/>
    <w:rsid w:val="00BE22B0"/>
    <w:rsid w:val="00BE260D"/>
    <w:rsid w:val="00BE375A"/>
    <w:rsid w:val="00BE413C"/>
    <w:rsid w:val="00BE43E9"/>
    <w:rsid w:val="00BE6114"/>
    <w:rsid w:val="00BE652C"/>
    <w:rsid w:val="00BE6AD7"/>
    <w:rsid w:val="00BE6C17"/>
    <w:rsid w:val="00BE725A"/>
    <w:rsid w:val="00BF0362"/>
    <w:rsid w:val="00BF186C"/>
    <w:rsid w:val="00BF1A9D"/>
    <w:rsid w:val="00BF1DF2"/>
    <w:rsid w:val="00BF2314"/>
    <w:rsid w:val="00BF4277"/>
    <w:rsid w:val="00BF45A2"/>
    <w:rsid w:val="00BF4B5E"/>
    <w:rsid w:val="00BF5B0F"/>
    <w:rsid w:val="00BF5F13"/>
    <w:rsid w:val="00BF7887"/>
    <w:rsid w:val="00BF7BB2"/>
    <w:rsid w:val="00C017F4"/>
    <w:rsid w:val="00C032F4"/>
    <w:rsid w:val="00C03E56"/>
    <w:rsid w:val="00C0462E"/>
    <w:rsid w:val="00C04784"/>
    <w:rsid w:val="00C04ED3"/>
    <w:rsid w:val="00C054CC"/>
    <w:rsid w:val="00C0570A"/>
    <w:rsid w:val="00C06221"/>
    <w:rsid w:val="00C063AA"/>
    <w:rsid w:val="00C06810"/>
    <w:rsid w:val="00C11517"/>
    <w:rsid w:val="00C11A7B"/>
    <w:rsid w:val="00C14AD1"/>
    <w:rsid w:val="00C14D4C"/>
    <w:rsid w:val="00C16CD5"/>
    <w:rsid w:val="00C2037F"/>
    <w:rsid w:val="00C20E8F"/>
    <w:rsid w:val="00C21D82"/>
    <w:rsid w:val="00C21FCB"/>
    <w:rsid w:val="00C21FF6"/>
    <w:rsid w:val="00C2284F"/>
    <w:rsid w:val="00C24B4B"/>
    <w:rsid w:val="00C25AFC"/>
    <w:rsid w:val="00C26059"/>
    <w:rsid w:val="00C26816"/>
    <w:rsid w:val="00C27062"/>
    <w:rsid w:val="00C27589"/>
    <w:rsid w:val="00C3057B"/>
    <w:rsid w:val="00C317B9"/>
    <w:rsid w:val="00C33A4F"/>
    <w:rsid w:val="00C34671"/>
    <w:rsid w:val="00C3506A"/>
    <w:rsid w:val="00C35963"/>
    <w:rsid w:val="00C36539"/>
    <w:rsid w:val="00C36BC2"/>
    <w:rsid w:val="00C36F57"/>
    <w:rsid w:val="00C379EE"/>
    <w:rsid w:val="00C37CCC"/>
    <w:rsid w:val="00C40729"/>
    <w:rsid w:val="00C408E4"/>
    <w:rsid w:val="00C40C8A"/>
    <w:rsid w:val="00C4186A"/>
    <w:rsid w:val="00C43632"/>
    <w:rsid w:val="00C449D7"/>
    <w:rsid w:val="00C50BE2"/>
    <w:rsid w:val="00C52A5E"/>
    <w:rsid w:val="00C54173"/>
    <w:rsid w:val="00C55680"/>
    <w:rsid w:val="00C55E7F"/>
    <w:rsid w:val="00C56268"/>
    <w:rsid w:val="00C567D4"/>
    <w:rsid w:val="00C56B64"/>
    <w:rsid w:val="00C57342"/>
    <w:rsid w:val="00C600BB"/>
    <w:rsid w:val="00C6129D"/>
    <w:rsid w:val="00C621C9"/>
    <w:rsid w:val="00C6304E"/>
    <w:rsid w:val="00C64042"/>
    <w:rsid w:val="00C64F0A"/>
    <w:rsid w:val="00C701B4"/>
    <w:rsid w:val="00C712F0"/>
    <w:rsid w:val="00C71D17"/>
    <w:rsid w:val="00C72760"/>
    <w:rsid w:val="00C72B88"/>
    <w:rsid w:val="00C72E06"/>
    <w:rsid w:val="00C72EF4"/>
    <w:rsid w:val="00C73A55"/>
    <w:rsid w:val="00C73AD2"/>
    <w:rsid w:val="00C73D7A"/>
    <w:rsid w:val="00C73D9C"/>
    <w:rsid w:val="00C741B7"/>
    <w:rsid w:val="00C744A6"/>
    <w:rsid w:val="00C7727B"/>
    <w:rsid w:val="00C77ED2"/>
    <w:rsid w:val="00C80382"/>
    <w:rsid w:val="00C80643"/>
    <w:rsid w:val="00C80D7D"/>
    <w:rsid w:val="00C81289"/>
    <w:rsid w:val="00C83237"/>
    <w:rsid w:val="00C8383B"/>
    <w:rsid w:val="00C85BF7"/>
    <w:rsid w:val="00C8659C"/>
    <w:rsid w:val="00C87C79"/>
    <w:rsid w:val="00C90124"/>
    <w:rsid w:val="00C90946"/>
    <w:rsid w:val="00C92015"/>
    <w:rsid w:val="00C94A5C"/>
    <w:rsid w:val="00C95D4E"/>
    <w:rsid w:val="00C95E02"/>
    <w:rsid w:val="00C96FB3"/>
    <w:rsid w:val="00CA04B7"/>
    <w:rsid w:val="00CA05D5"/>
    <w:rsid w:val="00CA0A1E"/>
    <w:rsid w:val="00CA1EB6"/>
    <w:rsid w:val="00CA4050"/>
    <w:rsid w:val="00CA410C"/>
    <w:rsid w:val="00CA4E5E"/>
    <w:rsid w:val="00CA674A"/>
    <w:rsid w:val="00CA7396"/>
    <w:rsid w:val="00CB170E"/>
    <w:rsid w:val="00CB1C1E"/>
    <w:rsid w:val="00CB2242"/>
    <w:rsid w:val="00CB296C"/>
    <w:rsid w:val="00CB29E1"/>
    <w:rsid w:val="00CB2D77"/>
    <w:rsid w:val="00CB4750"/>
    <w:rsid w:val="00CB4F61"/>
    <w:rsid w:val="00CB5A40"/>
    <w:rsid w:val="00CB614A"/>
    <w:rsid w:val="00CB64E6"/>
    <w:rsid w:val="00CB68E2"/>
    <w:rsid w:val="00CB7388"/>
    <w:rsid w:val="00CB7FF8"/>
    <w:rsid w:val="00CC01D4"/>
    <w:rsid w:val="00CC02D9"/>
    <w:rsid w:val="00CC0B2B"/>
    <w:rsid w:val="00CC0C57"/>
    <w:rsid w:val="00CC1C87"/>
    <w:rsid w:val="00CC1E68"/>
    <w:rsid w:val="00CC3D2E"/>
    <w:rsid w:val="00CC6EA6"/>
    <w:rsid w:val="00CD0BB7"/>
    <w:rsid w:val="00CD15F2"/>
    <w:rsid w:val="00CD2582"/>
    <w:rsid w:val="00CD46A9"/>
    <w:rsid w:val="00CD4E9A"/>
    <w:rsid w:val="00CD5C6F"/>
    <w:rsid w:val="00CD6BDD"/>
    <w:rsid w:val="00CD73B6"/>
    <w:rsid w:val="00CE00CB"/>
    <w:rsid w:val="00CE2FE0"/>
    <w:rsid w:val="00CE348A"/>
    <w:rsid w:val="00CE4536"/>
    <w:rsid w:val="00CE59AF"/>
    <w:rsid w:val="00CE6513"/>
    <w:rsid w:val="00CE6790"/>
    <w:rsid w:val="00CE7F15"/>
    <w:rsid w:val="00CF04A0"/>
    <w:rsid w:val="00CF1E20"/>
    <w:rsid w:val="00CF243B"/>
    <w:rsid w:val="00CF2B15"/>
    <w:rsid w:val="00CF2FDF"/>
    <w:rsid w:val="00CF4747"/>
    <w:rsid w:val="00CF5B07"/>
    <w:rsid w:val="00CF7444"/>
    <w:rsid w:val="00CF79A8"/>
    <w:rsid w:val="00D0399D"/>
    <w:rsid w:val="00D04013"/>
    <w:rsid w:val="00D04B49"/>
    <w:rsid w:val="00D06AD4"/>
    <w:rsid w:val="00D06CE3"/>
    <w:rsid w:val="00D12593"/>
    <w:rsid w:val="00D15FFB"/>
    <w:rsid w:val="00D160EE"/>
    <w:rsid w:val="00D16342"/>
    <w:rsid w:val="00D167DB"/>
    <w:rsid w:val="00D20239"/>
    <w:rsid w:val="00D202FE"/>
    <w:rsid w:val="00D20741"/>
    <w:rsid w:val="00D207DC"/>
    <w:rsid w:val="00D22357"/>
    <w:rsid w:val="00D24F62"/>
    <w:rsid w:val="00D24FE3"/>
    <w:rsid w:val="00D25A67"/>
    <w:rsid w:val="00D27685"/>
    <w:rsid w:val="00D27CD0"/>
    <w:rsid w:val="00D27EBE"/>
    <w:rsid w:val="00D31E8F"/>
    <w:rsid w:val="00D33E7B"/>
    <w:rsid w:val="00D340F8"/>
    <w:rsid w:val="00D35221"/>
    <w:rsid w:val="00D35A58"/>
    <w:rsid w:val="00D37568"/>
    <w:rsid w:val="00D37EEB"/>
    <w:rsid w:val="00D4075B"/>
    <w:rsid w:val="00D40D71"/>
    <w:rsid w:val="00D42AEB"/>
    <w:rsid w:val="00D43350"/>
    <w:rsid w:val="00D43984"/>
    <w:rsid w:val="00D44E58"/>
    <w:rsid w:val="00D454B8"/>
    <w:rsid w:val="00D50EBE"/>
    <w:rsid w:val="00D5168E"/>
    <w:rsid w:val="00D521B3"/>
    <w:rsid w:val="00D53AEA"/>
    <w:rsid w:val="00D552BE"/>
    <w:rsid w:val="00D55531"/>
    <w:rsid w:val="00D5624C"/>
    <w:rsid w:val="00D5628D"/>
    <w:rsid w:val="00D57D83"/>
    <w:rsid w:val="00D600FA"/>
    <w:rsid w:val="00D620DE"/>
    <w:rsid w:val="00D64D9B"/>
    <w:rsid w:val="00D67778"/>
    <w:rsid w:val="00D704DF"/>
    <w:rsid w:val="00D72AA3"/>
    <w:rsid w:val="00D73338"/>
    <w:rsid w:val="00D75548"/>
    <w:rsid w:val="00D75B9A"/>
    <w:rsid w:val="00D80394"/>
    <w:rsid w:val="00D80686"/>
    <w:rsid w:val="00D80A2F"/>
    <w:rsid w:val="00D81138"/>
    <w:rsid w:val="00D81C32"/>
    <w:rsid w:val="00D82B58"/>
    <w:rsid w:val="00D842DE"/>
    <w:rsid w:val="00D8646A"/>
    <w:rsid w:val="00D87DB7"/>
    <w:rsid w:val="00D9069C"/>
    <w:rsid w:val="00D907D0"/>
    <w:rsid w:val="00D90BBF"/>
    <w:rsid w:val="00D91D30"/>
    <w:rsid w:val="00D939B9"/>
    <w:rsid w:val="00D93EC4"/>
    <w:rsid w:val="00D961C2"/>
    <w:rsid w:val="00D96E8B"/>
    <w:rsid w:val="00D97F0A"/>
    <w:rsid w:val="00DA304D"/>
    <w:rsid w:val="00DA652A"/>
    <w:rsid w:val="00DA67CC"/>
    <w:rsid w:val="00DA6F7F"/>
    <w:rsid w:val="00DA7C5D"/>
    <w:rsid w:val="00DB0028"/>
    <w:rsid w:val="00DB0FEB"/>
    <w:rsid w:val="00DB23F8"/>
    <w:rsid w:val="00DB29EE"/>
    <w:rsid w:val="00DB5145"/>
    <w:rsid w:val="00DC0202"/>
    <w:rsid w:val="00DC059C"/>
    <w:rsid w:val="00DC39D7"/>
    <w:rsid w:val="00DC4687"/>
    <w:rsid w:val="00DC6E21"/>
    <w:rsid w:val="00DC7F2C"/>
    <w:rsid w:val="00DD0C7D"/>
    <w:rsid w:val="00DD322C"/>
    <w:rsid w:val="00DD3627"/>
    <w:rsid w:val="00DD439C"/>
    <w:rsid w:val="00DD4F2B"/>
    <w:rsid w:val="00DD5E8B"/>
    <w:rsid w:val="00DD6622"/>
    <w:rsid w:val="00DD797A"/>
    <w:rsid w:val="00DE0169"/>
    <w:rsid w:val="00DE0437"/>
    <w:rsid w:val="00DE0DAC"/>
    <w:rsid w:val="00DE111A"/>
    <w:rsid w:val="00DE1841"/>
    <w:rsid w:val="00DE2A1F"/>
    <w:rsid w:val="00DE3311"/>
    <w:rsid w:val="00DE64FB"/>
    <w:rsid w:val="00DE6655"/>
    <w:rsid w:val="00DE68E5"/>
    <w:rsid w:val="00DF2A9E"/>
    <w:rsid w:val="00DF4453"/>
    <w:rsid w:val="00DF4A72"/>
    <w:rsid w:val="00DF565F"/>
    <w:rsid w:val="00DF5D25"/>
    <w:rsid w:val="00DF7EE3"/>
    <w:rsid w:val="00E01177"/>
    <w:rsid w:val="00E03F10"/>
    <w:rsid w:val="00E03FB6"/>
    <w:rsid w:val="00E0477C"/>
    <w:rsid w:val="00E04B83"/>
    <w:rsid w:val="00E05FA2"/>
    <w:rsid w:val="00E06713"/>
    <w:rsid w:val="00E069EF"/>
    <w:rsid w:val="00E07115"/>
    <w:rsid w:val="00E11071"/>
    <w:rsid w:val="00E11982"/>
    <w:rsid w:val="00E11DDE"/>
    <w:rsid w:val="00E13EE9"/>
    <w:rsid w:val="00E159B9"/>
    <w:rsid w:val="00E166F2"/>
    <w:rsid w:val="00E20644"/>
    <w:rsid w:val="00E22ECF"/>
    <w:rsid w:val="00E24308"/>
    <w:rsid w:val="00E24E39"/>
    <w:rsid w:val="00E25544"/>
    <w:rsid w:val="00E34618"/>
    <w:rsid w:val="00E35B20"/>
    <w:rsid w:val="00E3774E"/>
    <w:rsid w:val="00E40728"/>
    <w:rsid w:val="00E41DE5"/>
    <w:rsid w:val="00E41FD8"/>
    <w:rsid w:val="00E4267A"/>
    <w:rsid w:val="00E43A8B"/>
    <w:rsid w:val="00E43EAB"/>
    <w:rsid w:val="00E44B48"/>
    <w:rsid w:val="00E47B0F"/>
    <w:rsid w:val="00E51798"/>
    <w:rsid w:val="00E521C4"/>
    <w:rsid w:val="00E523B0"/>
    <w:rsid w:val="00E52689"/>
    <w:rsid w:val="00E53905"/>
    <w:rsid w:val="00E55AD4"/>
    <w:rsid w:val="00E567FD"/>
    <w:rsid w:val="00E60706"/>
    <w:rsid w:val="00E62185"/>
    <w:rsid w:val="00E64AA8"/>
    <w:rsid w:val="00E6756A"/>
    <w:rsid w:val="00E67B6F"/>
    <w:rsid w:val="00E7103A"/>
    <w:rsid w:val="00E72A4A"/>
    <w:rsid w:val="00E73608"/>
    <w:rsid w:val="00E748CB"/>
    <w:rsid w:val="00E76E4E"/>
    <w:rsid w:val="00E80107"/>
    <w:rsid w:val="00E82C92"/>
    <w:rsid w:val="00E8337F"/>
    <w:rsid w:val="00E84363"/>
    <w:rsid w:val="00E8535F"/>
    <w:rsid w:val="00E85D4A"/>
    <w:rsid w:val="00E8609A"/>
    <w:rsid w:val="00E863AD"/>
    <w:rsid w:val="00E87949"/>
    <w:rsid w:val="00E87E48"/>
    <w:rsid w:val="00E90DBC"/>
    <w:rsid w:val="00E921E5"/>
    <w:rsid w:val="00E93707"/>
    <w:rsid w:val="00E93DD2"/>
    <w:rsid w:val="00E947BF"/>
    <w:rsid w:val="00E94885"/>
    <w:rsid w:val="00E9599E"/>
    <w:rsid w:val="00E95B6E"/>
    <w:rsid w:val="00E9602D"/>
    <w:rsid w:val="00E96AE0"/>
    <w:rsid w:val="00E96F61"/>
    <w:rsid w:val="00E975F9"/>
    <w:rsid w:val="00E97678"/>
    <w:rsid w:val="00EA043A"/>
    <w:rsid w:val="00EA0941"/>
    <w:rsid w:val="00EA1522"/>
    <w:rsid w:val="00EA2745"/>
    <w:rsid w:val="00EA69D7"/>
    <w:rsid w:val="00EB1E97"/>
    <w:rsid w:val="00EB52FC"/>
    <w:rsid w:val="00EB66F9"/>
    <w:rsid w:val="00EB7D91"/>
    <w:rsid w:val="00EC07A9"/>
    <w:rsid w:val="00EC135B"/>
    <w:rsid w:val="00EC25C2"/>
    <w:rsid w:val="00EC2646"/>
    <w:rsid w:val="00EC2717"/>
    <w:rsid w:val="00EC2A2A"/>
    <w:rsid w:val="00EC329D"/>
    <w:rsid w:val="00EC499E"/>
    <w:rsid w:val="00EC60AA"/>
    <w:rsid w:val="00ED054E"/>
    <w:rsid w:val="00ED0C99"/>
    <w:rsid w:val="00ED181D"/>
    <w:rsid w:val="00ED3A55"/>
    <w:rsid w:val="00ED614D"/>
    <w:rsid w:val="00EE02F2"/>
    <w:rsid w:val="00EE40F0"/>
    <w:rsid w:val="00EE4A50"/>
    <w:rsid w:val="00EE4C70"/>
    <w:rsid w:val="00EE6AA9"/>
    <w:rsid w:val="00EE7E11"/>
    <w:rsid w:val="00EF008B"/>
    <w:rsid w:val="00EF26A2"/>
    <w:rsid w:val="00EF5ECF"/>
    <w:rsid w:val="00EF6032"/>
    <w:rsid w:val="00EF72D7"/>
    <w:rsid w:val="00EF74ED"/>
    <w:rsid w:val="00EF7A52"/>
    <w:rsid w:val="00F043FB"/>
    <w:rsid w:val="00F0489E"/>
    <w:rsid w:val="00F150CF"/>
    <w:rsid w:val="00F154F4"/>
    <w:rsid w:val="00F1572E"/>
    <w:rsid w:val="00F16B1B"/>
    <w:rsid w:val="00F171A4"/>
    <w:rsid w:val="00F17DD0"/>
    <w:rsid w:val="00F20203"/>
    <w:rsid w:val="00F205C6"/>
    <w:rsid w:val="00F20C1E"/>
    <w:rsid w:val="00F22F2E"/>
    <w:rsid w:val="00F26495"/>
    <w:rsid w:val="00F2786D"/>
    <w:rsid w:val="00F30483"/>
    <w:rsid w:val="00F33BA9"/>
    <w:rsid w:val="00F3519B"/>
    <w:rsid w:val="00F351AB"/>
    <w:rsid w:val="00F42C9A"/>
    <w:rsid w:val="00F4318D"/>
    <w:rsid w:val="00F43A57"/>
    <w:rsid w:val="00F43BAD"/>
    <w:rsid w:val="00F441F9"/>
    <w:rsid w:val="00F44528"/>
    <w:rsid w:val="00F47968"/>
    <w:rsid w:val="00F508DA"/>
    <w:rsid w:val="00F50E25"/>
    <w:rsid w:val="00F51BA3"/>
    <w:rsid w:val="00F52892"/>
    <w:rsid w:val="00F52B65"/>
    <w:rsid w:val="00F540BD"/>
    <w:rsid w:val="00F543F3"/>
    <w:rsid w:val="00F546BF"/>
    <w:rsid w:val="00F54E77"/>
    <w:rsid w:val="00F54F08"/>
    <w:rsid w:val="00F561E8"/>
    <w:rsid w:val="00F57D9A"/>
    <w:rsid w:val="00F57E5F"/>
    <w:rsid w:val="00F60F12"/>
    <w:rsid w:val="00F643F1"/>
    <w:rsid w:val="00F64648"/>
    <w:rsid w:val="00F663A0"/>
    <w:rsid w:val="00F67C9B"/>
    <w:rsid w:val="00F70C2F"/>
    <w:rsid w:val="00F727BB"/>
    <w:rsid w:val="00F73357"/>
    <w:rsid w:val="00F74295"/>
    <w:rsid w:val="00F74E36"/>
    <w:rsid w:val="00F74E8A"/>
    <w:rsid w:val="00F75206"/>
    <w:rsid w:val="00F757C5"/>
    <w:rsid w:val="00F7750E"/>
    <w:rsid w:val="00F7760F"/>
    <w:rsid w:val="00F82574"/>
    <w:rsid w:val="00F847C2"/>
    <w:rsid w:val="00F8484E"/>
    <w:rsid w:val="00F84BD2"/>
    <w:rsid w:val="00F85F4F"/>
    <w:rsid w:val="00F860D1"/>
    <w:rsid w:val="00F863C9"/>
    <w:rsid w:val="00F86487"/>
    <w:rsid w:val="00F86A98"/>
    <w:rsid w:val="00F90E19"/>
    <w:rsid w:val="00F91193"/>
    <w:rsid w:val="00F91555"/>
    <w:rsid w:val="00F925B2"/>
    <w:rsid w:val="00F92F39"/>
    <w:rsid w:val="00F9444C"/>
    <w:rsid w:val="00F96124"/>
    <w:rsid w:val="00FA11F2"/>
    <w:rsid w:val="00FA17BD"/>
    <w:rsid w:val="00FA1CE7"/>
    <w:rsid w:val="00FA4D8B"/>
    <w:rsid w:val="00FA58F6"/>
    <w:rsid w:val="00FA70A4"/>
    <w:rsid w:val="00FA784A"/>
    <w:rsid w:val="00FB23B2"/>
    <w:rsid w:val="00FB2681"/>
    <w:rsid w:val="00FB4851"/>
    <w:rsid w:val="00FB511B"/>
    <w:rsid w:val="00FB51E5"/>
    <w:rsid w:val="00FB610E"/>
    <w:rsid w:val="00FC0EA1"/>
    <w:rsid w:val="00FC158C"/>
    <w:rsid w:val="00FC1FE2"/>
    <w:rsid w:val="00FC3355"/>
    <w:rsid w:val="00FC4A1B"/>
    <w:rsid w:val="00FC4B35"/>
    <w:rsid w:val="00FC4B65"/>
    <w:rsid w:val="00FC57EB"/>
    <w:rsid w:val="00FC6283"/>
    <w:rsid w:val="00FD1426"/>
    <w:rsid w:val="00FD1721"/>
    <w:rsid w:val="00FD1A75"/>
    <w:rsid w:val="00FD3976"/>
    <w:rsid w:val="00FD4E5C"/>
    <w:rsid w:val="00FD5355"/>
    <w:rsid w:val="00FD5D0D"/>
    <w:rsid w:val="00FD6157"/>
    <w:rsid w:val="00FD6DD4"/>
    <w:rsid w:val="00FD794F"/>
    <w:rsid w:val="00FE0EA8"/>
    <w:rsid w:val="00FE3792"/>
    <w:rsid w:val="00FE37B8"/>
    <w:rsid w:val="00FE421C"/>
    <w:rsid w:val="00FE552E"/>
    <w:rsid w:val="00FE55D3"/>
    <w:rsid w:val="00FF0526"/>
    <w:rsid w:val="00FF0A33"/>
    <w:rsid w:val="00FF1C5F"/>
    <w:rsid w:val="00FF4543"/>
    <w:rsid w:val="00FF4FF5"/>
    <w:rsid w:val="00FF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18"/>
    <w:pPr>
      <w:autoSpaceDE w:val="0"/>
      <w:autoSpaceDN w:val="0"/>
      <w:adjustRightInd w:val="0"/>
      <w:spacing w:before="120"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302E29"/>
    <w:pPr>
      <w:keepNext/>
      <w:spacing w:before="240" w:after="6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D57D83"/>
    <w:pPr>
      <w:keepNext/>
      <w:spacing w:before="240" w:after="60"/>
      <w:jc w:val="center"/>
      <w:outlineLvl w:val="1"/>
    </w:pPr>
    <w:rPr>
      <w:rFonts w:ascii="Times New (W1)" w:eastAsiaTheme="majorEastAsia" w:hAnsi="Times New (W1)" w:cstheme="majorBidi"/>
      <w:b/>
      <w:bCs/>
      <w:szCs w:val="26"/>
    </w:rPr>
  </w:style>
  <w:style w:type="paragraph" w:styleId="Heading3">
    <w:name w:val="heading 3"/>
    <w:basedOn w:val="Normal"/>
    <w:next w:val="Normal"/>
    <w:link w:val="Heading3Char"/>
    <w:unhideWhenUsed/>
    <w:qFormat/>
    <w:rsid w:val="007811CA"/>
    <w:pPr>
      <w:keepNext/>
      <w:spacing w:before="240" w:after="60" w:line="360" w:lineRule="auto"/>
      <w:outlineLvl w:val="2"/>
    </w:pPr>
    <w:rPr>
      <w:rFonts w:ascii="Times New Roman Bold" w:eastAsiaTheme="majorEastAsia" w:hAnsi="Times New Roman Bold" w:cstheme="majorBidi"/>
      <w:b/>
      <w:bCs/>
      <w:szCs w:val="22"/>
    </w:rPr>
  </w:style>
  <w:style w:type="paragraph" w:styleId="Heading4">
    <w:name w:val="heading 4"/>
    <w:basedOn w:val="Normal"/>
    <w:next w:val="Normal"/>
    <w:link w:val="Heading4Char"/>
    <w:uiPriority w:val="9"/>
    <w:unhideWhenUsed/>
    <w:qFormat/>
    <w:rsid w:val="003D1086"/>
    <w:pPr>
      <w:keepNext/>
      <w:keepLines/>
      <w:spacing w:before="200"/>
      <w:ind w:left="3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012D7"/>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29"/>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D57D83"/>
    <w:rPr>
      <w:rFonts w:ascii="Times New (W1)" w:eastAsiaTheme="majorEastAsia" w:hAnsi="Times New (W1)" w:cstheme="majorBidi"/>
      <w:b/>
      <w:bCs/>
      <w:sz w:val="24"/>
      <w:szCs w:val="26"/>
    </w:rPr>
  </w:style>
  <w:style w:type="character" w:customStyle="1" w:styleId="Heading3Char">
    <w:name w:val="Heading 3 Char"/>
    <w:basedOn w:val="DefaultParagraphFont"/>
    <w:link w:val="Heading3"/>
    <w:rsid w:val="007811CA"/>
    <w:rPr>
      <w:rFonts w:ascii="Times New Roman Bold" w:eastAsiaTheme="majorEastAsia" w:hAnsi="Times New Roman Bold" w:cstheme="majorBidi"/>
      <w:b/>
      <w:bCs/>
      <w:sz w:val="24"/>
    </w:rPr>
  </w:style>
  <w:style w:type="paragraph" w:styleId="FootnoteText">
    <w:name w:val="footnote text"/>
    <w:basedOn w:val="Normal"/>
    <w:link w:val="FootnoteTextChar"/>
    <w:unhideWhenUsed/>
    <w:qFormat/>
    <w:rsid w:val="00E97678"/>
    <w:pPr>
      <w:ind w:left="720" w:right="216" w:hanging="360"/>
    </w:pPr>
    <w:rPr>
      <w:rFonts w:cstheme="minorBidi"/>
      <w:sz w:val="20"/>
    </w:rPr>
  </w:style>
  <w:style w:type="character" w:customStyle="1" w:styleId="FootnoteTextChar">
    <w:name w:val="Footnote Text Char"/>
    <w:basedOn w:val="DefaultParagraphFont"/>
    <w:link w:val="FootnoteText"/>
    <w:rsid w:val="00E97678"/>
    <w:rPr>
      <w:rFonts w:ascii="Times New Roman" w:hAnsi="Times New Roman"/>
      <w:sz w:val="20"/>
      <w:szCs w:val="20"/>
    </w:rPr>
  </w:style>
  <w:style w:type="numbering" w:customStyle="1" w:styleId="DB1">
    <w:name w:val="D&amp;B1"/>
    <w:uiPriority w:val="99"/>
    <w:rsid w:val="00780635"/>
    <w:pPr>
      <w:numPr>
        <w:numId w:val="1"/>
      </w:numPr>
    </w:pPr>
  </w:style>
  <w:style w:type="character" w:customStyle="1" w:styleId="Heading4Char">
    <w:name w:val="Heading 4 Char"/>
    <w:basedOn w:val="DefaultParagraphFont"/>
    <w:link w:val="Heading4"/>
    <w:uiPriority w:val="9"/>
    <w:rsid w:val="003D1086"/>
    <w:rPr>
      <w:rFonts w:ascii="Times New Roman" w:eastAsiaTheme="majorEastAsia" w:hAnsi="Times New Roman" w:cstheme="majorBidi"/>
      <w:b/>
      <w:bCs/>
      <w:i/>
      <w:iCs/>
      <w:sz w:val="24"/>
      <w:szCs w:val="20"/>
    </w:rPr>
  </w:style>
  <w:style w:type="character" w:customStyle="1" w:styleId="Heading5Char">
    <w:name w:val="Heading 5 Char"/>
    <w:basedOn w:val="DefaultParagraphFont"/>
    <w:link w:val="Heading5"/>
    <w:uiPriority w:val="9"/>
    <w:rsid w:val="000012D7"/>
    <w:rPr>
      <w:rFonts w:ascii="Times New Roman" w:eastAsiaTheme="majorEastAsia" w:hAnsi="Times New Roman" w:cstheme="majorBidi"/>
      <w:b/>
      <w:i/>
      <w:sz w:val="24"/>
      <w:szCs w:val="20"/>
    </w:rPr>
  </w:style>
  <w:style w:type="character" w:styleId="PageNumber">
    <w:name w:val="page number"/>
    <w:basedOn w:val="DefaultParagraphFont"/>
    <w:rsid w:val="00331B18"/>
    <w:rPr>
      <w:rFonts w:ascii="Times New (W1)" w:hAnsi="Times New (W1)"/>
      <w:dstrike w:val="0"/>
      <w:color w:val="auto"/>
      <w:sz w:val="24"/>
      <w:vertAlign w:val="baseline"/>
    </w:rPr>
  </w:style>
  <w:style w:type="paragraph" w:styleId="Header">
    <w:name w:val="header"/>
    <w:basedOn w:val="Normal"/>
    <w:link w:val="HeaderChar"/>
    <w:rsid w:val="00331B18"/>
    <w:pPr>
      <w:tabs>
        <w:tab w:val="center" w:pos="4320"/>
        <w:tab w:val="right" w:pos="8640"/>
      </w:tabs>
    </w:pPr>
  </w:style>
  <w:style w:type="character" w:customStyle="1" w:styleId="HeaderChar">
    <w:name w:val="Header Char"/>
    <w:basedOn w:val="DefaultParagraphFont"/>
    <w:link w:val="Header"/>
    <w:rsid w:val="00331B18"/>
    <w:rPr>
      <w:rFonts w:ascii="Times New Roman" w:eastAsiaTheme="minorEastAsia" w:hAnsi="Times New Roman" w:cs="Times New Roman"/>
      <w:sz w:val="24"/>
      <w:szCs w:val="20"/>
    </w:rPr>
  </w:style>
  <w:style w:type="paragraph" w:styleId="Footer">
    <w:name w:val="footer"/>
    <w:basedOn w:val="Normal"/>
    <w:link w:val="FooterChar"/>
    <w:rsid w:val="00331B18"/>
    <w:pPr>
      <w:tabs>
        <w:tab w:val="center" w:pos="4320"/>
        <w:tab w:val="right" w:pos="8640"/>
      </w:tabs>
      <w:spacing w:before="0"/>
    </w:pPr>
  </w:style>
  <w:style w:type="character" w:customStyle="1" w:styleId="FooterChar">
    <w:name w:val="Footer Char"/>
    <w:basedOn w:val="DefaultParagraphFont"/>
    <w:link w:val="Footer"/>
    <w:rsid w:val="00331B18"/>
    <w:rPr>
      <w:rFonts w:ascii="Times New Roman" w:eastAsiaTheme="minorEastAsia" w:hAnsi="Times New Roman" w:cs="Times New Roman"/>
      <w:sz w:val="24"/>
      <w:szCs w:val="20"/>
    </w:rPr>
  </w:style>
  <w:style w:type="character" w:styleId="FootnoteReference">
    <w:name w:val="footnote reference"/>
    <w:basedOn w:val="DefaultParagraphFont"/>
    <w:rsid w:val="00331B18"/>
    <w:rPr>
      <w:rFonts w:ascii="Times New Roman" w:hAnsi="Times New Roman"/>
      <w:dstrike w:val="0"/>
      <w:color w:val="auto"/>
      <w:position w:val="6"/>
      <w:sz w:val="16"/>
      <w:u w:val="none"/>
      <w:vertAlign w:val="baseline"/>
    </w:rPr>
  </w:style>
  <w:style w:type="character" w:styleId="Hyperlink">
    <w:name w:val="Hyperlink"/>
    <w:basedOn w:val="DefaultParagraphFont"/>
    <w:uiPriority w:val="99"/>
    <w:rsid w:val="00331B18"/>
    <w:rPr>
      <w:color w:val="0000FF"/>
      <w:sz w:val="20"/>
      <w:u w:val="single"/>
    </w:rPr>
  </w:style>
  <w:style w:type="paragraph" w:customStyle="1" w:styleId="Footnotetext0">
    <w:name w:val="Footnote text"/>
    <w:basedOn w:val="Normal"/>
    <w:link w:val="FootnotetextChar0"/>
    <w:qFormat/>
    <w:rsid w:val="00A6560D"/>
    <w:pPr>
      <w:autoSpaceDE/>
      <w:autoSpaceDN/>
      <w:adjustRightInd/>
      <w:ind w:left="720" w:right="360" w:hanging="360"/>
    </w:pPr>
    <w:rPr>
      <w:rFonts w:eastAsiaTheme="minorHAnsi" w:cstheme="minorBidi"/>
      <w:sz w:val="20"/>
      <w:szCs w:val="22"/>
    </w:rPr>
  </w:style>
  <w:style w:type="character" w:customStyle="1" w:styleId="style14">
    <w:name w:val="style14"/>
    <w:basedOn w:val="DefaultParagraphFont"/>
    <w:rsid w:val="00331B18"/>
  </w:style>
  <w:style w:type="character" w:customStyle="1" w:styleId="searchword">
    <w:name w:val="searchword"/>
    <w:basedOn w:val="DefaultParagraphFont"/>
    <w:rsid w:val="00331B18"/>
  </w:style>
  <w:style w:type="paragraph" w:styleId="ListParagraph">
    <w:name w:val="List Paragraph"/>
    <w:basedOn w:val="Normal"/>
    <w:uiPriority w:val="34"/>
    <w:qFormat/>
    <w:rsid w:val="00331B18"/>
    <w:pPr>
      <w:ind w:left="720"/>
      <w:contextualSpacing/>
    </w:pPr>
  </w:style>
  <w:style w:type="character" w:styleId="Strong">
    <w:name w:val="Strong"/>
    <w:basedOn w:val="DefaultParagraphFont"/>
    <w:uiPriority w:val="22"/>
    <w:qFormat/>
    <w:rsid w:val="00524576"/>
    <w:rPr>
      <w:b/>
      <w:bCs/>
    </w:rPr>
  </w:style>
  <w:style w:type="character" w:styleId="Emphasis">
    <w:name w:val="Emphasis"/>
    <w:basedOn w:val="DefaultParagraphFont"/>
    <w:uiPriority w:val="20"/>
    <w:qFormat/>
    <w:rsid w:val="00524576"/>
    <w:rPr>
      <w:i/>
      <w:iCs/>
    </w:rPr>
  </w:style>
  <w:style w:type="paragraph" w:customStyle="1" w:styleId="Default">
    <w:name w:val="Default"/>
    <w:rsid w:val="002D45F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4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B400B6"/>
    <w:rPr>
      <w:rFonts w:ascii="Courier New" w:hAnsi="Courier New" w:cs="Courier New"/>
      <w:sz w:val="20"/>
      <w:szCs w:val="20"/>
    </w:rPr>
  </w:style>
  <w:style w:type="paragraph" w:customStyle="1" w:styleId="Footnote">
    <w:name w:val="Footnote"/>
    <w:basedOn w:val="FootnoteText"/>
    <w:link w:val="FootnoteChar"/>
    <w:qFormat/>
    <w:rsid w:val="00C36F57"/>
    <w:pPr>
      <w:autoSpaceDE/>
      <w:autoSpaceDN/>
      <w:adjustRightInd/>
    </w:pPr>
    <w:rPr>
      <w:rFonts w:eastAsiaTheme="minorHAnsi"/>
      <w:szCs w:val="22"/>
    </w:rPr>
  </w:style>
  <w:style w:type="character" w:customStyle="1" w:styleId="FootnoteChar">
    <w:name w:val="Footnote Char"/>
    <w:basedOn w:val="FootnoteTextChar"/>
    <w:link w:val="Footnote"/>
    <w:rsid w:val="00C36F57"/>
    <w:rPr>
      <w:rFonts w:eastAsiaTheme="minorHAnsi"/>
    </w:rPr>
  </w:style>
  <w:style w:type="character" w:customStyle="1" w:styleId="headertext">
    <w:name w:val="headertext"/>
    <w:basedOn w:val="DefaultParagraphFont"/>
    <w:rsid w:val="00C36F57"/>
  </w:style>
  <w:style w:type="character" w:customStyle="1" w:styleId="date">
    <w:name w:val="date"/>
    <w:basedOn w:val="DefaultParagraphFont"/>
    <w:rsid w:val="003605E9"/>
  </w:style>
  <w:style w:type="paragraph" w:styleId="HTMLAddress">
    <w:name w:val="HTML Address"/>
    <w:basedOn w:val="Normal"/>
    <w:link w:val="HTMLAddressChar"/>
    <w:uiPriority w:val="99"/>
    <w:semiHidden/>
    <w:unhideWhenUsed/>
    <w:rsid w:val="003605E9"/>
    <w:pPr>
      <w:autoSpaceDE/>
      <w:autoSpaceDN/>
      <w:adjustRightInd/>
      <w:spacing w:before="0"/>
    </w:pPr>
    <w:rPr>
      <w:rFonts w:eastAsia="Times New Roman"/>
      <w:i/>
      <w:iCs/>
      <w:szCs w:val="24"/>
    </w:rPr>
  </w:style>
  <w:style w:type="character" w:customStyle="1" w:styleId="HTMLAddressChar">
    <w:name w:val="HTML Address Char"/>
    <w:basedOn w:val="DefaultParagraphFont"/>
    <w:link w:val="HTMLAddress"/>
    <w:uiPriority w:val="99"/>
    <w:semiHidden/>
    <w:rsid w:val="003605E9"/>
    <w:rPr>
      <w:rFonts w:ascii="Times New Roman" w:hAnsi="Times New Roman" w:cs="Times New Roman"/>
      <w:i/>
      <w:iCs/>
      <w:sz w:val="24"/>
      <w:szCs w:val="24"/>
    </w:rPr>
  </w:style>
  <w:style w:type="paragraph" w:customStyle="1" w:styleId="postdate">
    <w:name w:val="postdate"/>
    <w:basedOn w:val="Normal"/>
    <w:rsid w:val="009C36A3"/>
    <w:pPr>
      <w:autoSpaceDE/>
      <w:autoSpaceDN/>
      <w:adjustRightInd/>
      <w:spacing w:before="100" w:beforeAutospacing="1" w:after="100" w:afterAutospacing="1"/>
    </w:pPr>
    <w:rPr>
      <w:rFonts w:eastAsia="Times New Roman"/>
      <w:szCs w:val="24"/>
    </w:rPr>
  </w:style>
  <w:style w:type="paragraph" w:styleId="NormalWeb">
    <w:name w:val="Normal (Web)"/>
    <w:basedOn w:val="Normal"/>
    <w:uiPriority w:val="99"/>
    <w:semiHidden/>
    <w:unhideWhenUsed/>
    <w:rsid w:val="00140A80"/>
    <w:pPr>
      <w:autoSpaceDE/>
      <w:autoSpaceDN/>
      <w:adjustRightInd/>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A6B0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0C"/>
    <w:rPr>
      <w:rFonts w:ascii="Tahoma" w:eastAsiaTheme="minorEastAsia" w:hAnsi="Tahoma" w:cs="Tahoma"/>
      <w:sz w:val="16"/>
      <w:szCs w:val="16"/>
    </w:rPr>
  </w:style>
  <w:style w:type="character" w:customStyle="1" w:styleId="apple-style-span">
    <w:name w:val="apple-style-span"/>
    <w:basedOn w:val="DefaultParagraphFont"/>
    <w:rsid w:val="004849C6"/>
  </w:style>
  <w:style w:type="character" w:customStyle="1" w:styleId="apple-converted-space">
    <w:name w:val="apple-converted-space"/>
    <w:basedOn w:val="DefaultParagraphFont"/>
    <w:rsid w:val="00AB0AA5"/>
  </w:style>
  <w:style w:type="character" w:styleId="FollowedHyperlink">
    <w:name w:val="FollowedHyperlink"/>
    <w:basedOn w:val="DefaultParagraphFont"/>
    <w:uiPriority w:val="99"/>
    <w:semiHidden/>
    <w:unhideWhenUsed/>
    <w:rsid w:val="0074298A"/>
    <w:rPr>
      <w:color w:val="800080" w:themeColor="followedHyperlink"/>
      <w:u w:val="single"/>
    </w:rPr>
  </w:style>
  <w:style w:type="character" w:customStyle="1" w:styleId="FootnotetextChar0">
    <w:name w:val="Footnote text Char"/>
    <w:basedOn w:val="FootnoteTextChar"/>
    <w:link w:val="Footnotetext0"/>
    <w:rsid w:val="00A6560D"/>
    <w:rPr>
      <w:rFonts w:eastAsiaTheme="minorHAnsi"/>
    </w:rPr>
  </w:style>
  <w:style w:type="character" w:customStyle="1" w:styleId="klink">
    <w:name w:val="klink"/>
    <w:basedOn w:val="DefaultParagraphFont"/>
    <w:rsid w:val="00785B96"/>
  </w:style>
  <w:style w:type="paragraph" w:styleId="PlainText">
    <w:name w:val="Plain Text"/>
    <w:basedOn w:val="Normal"/>
    <w:link w:val="PlainTextChar"/>
    <w:uiPriority w:val="99"/>
    <w:semiHidden/>
    <w:unhideWhenUsed/>
    <w:rsid w:val="00EC2717"/>
    <w:pPr>
      <w:autoSpaceDE/>
      <w:autoSpaceDN/>
      <w:adjustRightInd/>
      <w:spacing w:before="0"/>
    </w:pPr>
    <w:rPr>
      <w:rFonts w:eastAsiaTheme="minorHAnsi" w:cstheme="minorBidi"/>
      <w:szCs w:val="21"/>
    </w:rPr>
  </w:style>
  <w:style w:type="character" w:customStyle="1" w:styleId="PlainTextChar">
    <w:name w:val="Plain Text Char"/>
    <w:basedOn w:val="DefaultParagraphFont"/>
    <w:link w:val="PlainText"/>
    <w:uiPriority w:val="99"/>
    <w:semiHidden/>
    <w:rsid w:val="00EC2717"/>
    <w:rPr>
      <w:rFonts w:ascii="Times New Roman" w:eastAsiaTheme="minorHAnsi" w:hAnsi="Times New Roman"/>
      <w:sz w:val="24"/>
      <w:szCs w:val="21"/>
    </w:rPr>
  </w:style>
  <w:style w:type="character" w:customStyle="1" w:styleId="style43">
    <w:name w:val="style43"/>
    <w:basedOn w:val="DefaultParagraphFont"/>
    <w:rsid w:val="00CF04A0"/>
  </w:style>
  <w:style w:type="character" w:customStyle="1" w:styleId="pgnum">
    <w:name w:val="pgnum"/>
    <w:basedOn w:val="DefaultParagraphFont"/>
    <w:rsid w:val="00D961C2"/>
  </w:style>
  <w:style w:type="character" w:customStyle="1" w:styleId="sup">
    <w:name w:val="sup"/>
    <w:basedOn w:val="DefaultParagraphFont"/>
    <w:rsid w:val="00D961C2"/>
  </w:style>
  <w:style w:type="paragraph" w:customStyle="1" w:styleId="story-body-text">
    <w:name w:val="story-body-text"/>
    <w:basedOn w:val="Normal"/>
    <w:rsid w:val="009A5DAD"/>
    <w:pPr>
      <w:autoSpaceDE/>
      <w:autoSpaceDN/>
      <w:adjustRightInd/>
      <w:spacing w:before="100" w:beforeAutospacing="1" w:after="100" w:afterAutospacing="1"/>
    </w:pPr>
    <w:rPr>
      <w:rFonts w:eastAsia="Times New Roman"/>
      <w:szCs w:val="24"/>
    </w:rPr>
  </w:style>
  <w:style w:type="paragraph" w:customStyle="1" w:styleId="CM4">
    <w:name w:val="CM4"/>
    <w:basedOn w:val="Default"/>
    <w:next w:val="Default"/>
    <w:uiPriority w:val="99"/>
    <w:rsid w:val="007655A1"/>
    <w:pPr>
      <w:spacing w:line="276" w:lineRule="atLeast"/>
    </w:pPr>
    <w:rPr>
      <w:rFonts w:ascii="Century Schoolbook" w:hAnsi="Century Schoolbook" w:cstheme="minorBidi"/>
      <w:color w:val="auto"/>
    </w:rPr>
  </w:style>
  <w:style w:type="character" w:customStyle="1" w:styleId="reference-text">
    <w:name w:val="reference-text"/>
    <w:basedOn w:val="DefaultParagraphFont"/>
    <w:rsid w:val="00367E4F"/>
  </w:style>
</w:styles>
</file>

<file path=word/webSettings.xml><?xml version="1.0" encoding="utf-8"?>
<w:webSettings xmlns:r="http://schemas.openxmlformats.org/officeDocument/2006/relationships" xmlns:w="http://schemas.openxmlformats.org/wordprocessingml/2006/main">
  <w:divs>
    <w:div w:id="82990382">
      <w:bodyDiv w:val="1"/>
      <w:marLeft w:val="0"/>
      <w:marRight w:val="0"/>
      <w:marTop w:val="0"/>
      <w:marBottom w:val="0"/>
      <w:divBdr>
        <w:top w:val="none" w:sz="0" w:space="0" w:color="auto"/>
        <w:left w:val="none" w:sz="0" w:space="0" w:color="auto"/>
        <w:bottom w:val="none" w:sz="0" w:space="0" w:color="auto"/>
        <w:right w:val="none" w:sz="0" w:space="0" w:color="auto"/>
      </w:divBdr>
    </w:div>
    <w:div w:id="145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0984130">
          <w:marLeft w:val="0"/>
          <w:marRight w:val="0"/>
          <w:marTop w:val="0"/>
          <w:marBottom w:val="0"/>
          <w:divBdr>
            <w:top w:val="none" w:sz="0" w:space="0" w:color="auto"/>
            <w:left w:val="none" w:sz="0" w:space="0" w:color="auto"/>
            <w:bottom w:val="none" w:sz="0" w:space="0" w:color="auto"/>
            <w:right w:val="none" w:sz="0" w:space="0" w:color="auto"/>
          </w:divBdr>
        </w:div>
        <w:div w:id="679628485">
          <w:marLeft w:val="0"/>
          <w:marRight w:val="0"/>
          <w:marTop w:val="0"/>
          <w:marBottom w:val="0"/>
          <w:divBdr>
            <w:top w:val="none" w:sz="0" w:space="0" w:color="auto"/>
            <w:left w:val="none" w:sz="0" w:space="0" w:color="auto"/>
            <w:bottom w:val="none" w:sz="0" w:space="0" w:color="auto"/>
            <w:right w:val="none" w:sz="0" w:space="0" w:color="auto"/>
          </w:divBdr>
        </w:div>
      </w:divsChild>
    </w:div>
    <w:div w:id="187374508">
      <w:bodyDiv w:val="1"/>
      <w:marLeft w:val="0"/>
      <w:marRight w:val="0"/>
      <w:marTop w:val="0"/>
      <w:marBottom w:val="0"/>
      <w:divBdr>
        <w:top w:val="none" w:sz="0" w:space="0" w:color="auto"/>
        <w:left w:val="none" w:sz="0" w:space="0" w:color="auto"/>
        <w:bottom w:val="none" w:sz="0" w:space="0" w:color="auto"/>
        <w:right w:val="none" w:sz="0" w:space="0" w:color="auto"/>
      </w:divBdr>
    </w:div>
    <w:div w:id="245650594">
      <w:bodyDiv w:val="1"/>
      <w:marLeft w:val="0"/>
      <w:marRight w:val="0"/>
      <w:marTop w:val="0"/>
      <w:marBottom w:val="0"/>
      <w:divBdr>
        <w:top w:val="none" w:sz="0" w:space="0" w:color="auto"/>
        <w:left w:val="none" w:sz="0" w:space="0" w:color="auto"/>
        <w:bottom w:val="none" w:sz="0" w:space="0" w:color="auto"/>
        <w:right w:val="none" w:sz="0" w:space="0" w:color="auto"/>
      </w:divBdr>
    </w:div>
    <w:div w:id="462695854">
      <w:bodyDiv w:val="1"/>
      <w:marLeft w:val="0"/>
      <w:marRight w:val="0"/>
      <w:marTop w:val="0"/>
      <w:marBottom w:val="0"/>
      <w:divBdr>
        <w:top w:val="none" w:sz="0" w:space="0" w:color="auto"/>
        <w:left w:val="none" w:sz="0" w:space="0" w:color="auto"/>
        <w:bottom w:val="none" w:sz="0" w:space="0" w:color="auto"/>
        <w:right w:val="none" w:sz="0" w:space="0" w:color="auto"/>
      </w:divBdr>
    </w:div>
    <w:div w:id="505249573">
      <w:bodyDiv w:val="1"/>
      <w:marLeft w:val="0"/>
      <w:marRight w:val="0"/>
      <w:marTop w:val="0"/>
      <w:marBottom w:val="0"/>
      <w:divBdr>
        <w:top w:val="none" w:sz="0" w:space="0" w:color="auto"/>
        <w:left w:val="none" w:sz="0" w:space="0" w:color="auto"/>
        <w:bottom w:val="none" w:sz="0" w:space="0" w:color="auto"/>
        <w:right w:val="none" w:sz="0" w:space="0" w:color="auto"/>
      </w:divBdr>
    </w:div>
    <w:div w:id="521283749">
      <w:bodyDiv w:val="1"/>
      <w:marLeft w:val="0"/>
      <w:marRight w:val="0"/>
      <w:marTop w:val="0"/>
      <w:marBottom w:val="0"/>
      <w:divBdr>
        <w:top w:val="none" w:sz="0" w:space="0" w:color="auto"/>
        <w:left w:val="none" w:sz="0" w:space="0" w:color="auto"/>
        <w:bottom w:val="none" w:sz="0" w:space="0" w:color="auto"/>
        <w:right w:val="none" w:sz="0" w:space="0" w:color="auto"/>
      </w:divBdr>
    </w:div>
    <w:div w:id="571045796">
      <w:bodyDiv w:val="1"/>
      <w:marLeft w:val="0"/>
      <w:marRight w:val="0"/>
      <w:marTop w:val="0"/>
      <w:marBottom w:val="0"/>
      <w:divBdr>
        <w:top w:val="none" w:sz="0" w:space="0" w:color="auto"/>
        <w:left w:val="none" w:sz="0" w:space="0" w:color="auto"/>
        <w:bottom w:val="none" w:sz="0" w:space="0" w:color="auto"/>
        <w:right w:val="none" w:sz="0" w:space="0" w:color="auto"/>
      </w:divBdr>
    </w:div>
    <w:div w:id="601764935">
      <w:bodyDiv w:val="1"/>
      <w:marLeft w:val="0"/>
      <w:marRight w:val="0"/>
      <w:marTop w:val="0"/>
      <w:marBottom w:val="0"/>
      <w:divBdr>
        <w:top w:val="none" w:sz="0" w:space="0" w:color="auto"/>
        <w:left w:val="none" w:sz="0" w:space="0" w:color="auto"/>
        <w:bottom w:val="none" w:sz="0" w:space="0" w:color="auto"/>
        <w:right w:val="none" w:sz="0" w:space="0" w:color="auto"/>
      </w:divBdr>
    </w:div>
    <w:div w:id="625889968">
      <w:bodyDiv w:val="1"/>
      <w:marLeft w:val="0"/>
      <w:marRight w:val="0"/>
      <w:marTop w:val="0"/>
      <w:marBottom w:val="0"/>
      <w:divBdr>
        <w:top w:val="none" w:sz="0" w:space="0" w:color="auto"/>
        <w:left w:val="none" w:sz="0" w:space="0" w:color="auto"/>
        <w:bottom w:val="none" w:sz="0" w:space="0" w:color="auto"/>
        <w:right w:val="none" w:sz="0" w:space="0" w:color="auto"/>
      </w:divBdr>
    </w:div>
    <w:div w:id="691688752">
      <w:bodyDiv w:val="1"/>
      <w:marLeft w:val="0"/>
      <w:marRight w:val="0"/>
      <w:marTop w:val="0"/>
      <w:marBottom w:val="0"/>
      <w:divBdr>
        <w:top w:val="none" w:sz="0" w:space="0" w:color="auto"/>
        <w:left w:val="none" w:sz="0" w:space="0" w:color="auto"/>
        <w:bottom w:val="none" w:sz="0" w:space="0" w:color="auto"/>
        <w:right w:val="none" w:sz="0" w:space="0" w:color="auto"/>
      </w:divBdr>
    </w:div>
    <w:div w:id="773473695">
      <w:bodyDiv w:val="1"/>
      <w:marLeft w:val="0"/>
      <w:marRight w:val="0"/>
      <w:marTop w:val="0"/>
      <w:marBottom w:val="0"/>
      <w:divBdr>
        <w:top w:val="none" w:sz="0" w:space="0" w:color="auto"/>
        <w:left w:val="none" w:sz="0" w:space="0" w:color="auto"/>
        <w:bottom w:val="none" w:sz="0" w:space="0" w:color="auto"/>
        <w:right w:val="none" w:sz="0" w:space="0" w:color="auto"/>
      </w:divBdr>
    </w:div>
    <w:div w:id="821584515">
      <w:bodyDiv w:val="1"/>
      <w:marLeft w:val="0"/>
      <w:marRight w:val="0"/>
      <w:marTop w:val="0"/>
      <w:marBottom w:val="0"/>
      <w:divBdr>
        <w:top w:val="none" w:sz="0" w:space="0" w:color="auto"/>
        <w:left w:val="none" w:sz="0" w:space="0" w:color="auto"/>
        <w:bottom w:val="none" w:sz="0" w:space="0" w:color="auto"/>
        <w:right w:val="none" w:sz="0" w:space="0" w:color="auto"/>
      </w:divBdr>
    </w:div>
    <w:div w:id="981155989">
      <w:bodyDiv w:val="1"/>
      <w:marLeft w:val="0"/>
      <w:marRight w:val="0"/>
      <w:marTop w:val="0"/>
      <w:marBottom w:val="0"/>
      <w:divBdr>
        <w:top w:val="none" w:sz="0" w:space="0" w:color="auto"/>
        <w:left w:val="none" w:sz="0" w:space="0" w:color="auto"/>
        <w:bottom w:val="none" w:sz="0" w:space="0" w:color="auto"/>
        <w:right w:val="none" w:sz="0" w:space="0" w:color="auto"/>
      </w:divBdr>
    </w:div>
    <w:div w:id="1025473527">
      <w:bodyDiv w:val="1"/>
      <w:marLeft w:val="0"/>
      <w:marRight w:val="0"/>
      <w:marTop w:val="0"/>
      <w:marBottom w:val="0"/>
      <w:divBdr>
        <w:top w:val="none" w:sz="0" w:space="0" w:color="auto"/>
        <w:left w:val="none" w:sz="0" w:space="0" w:color="auto"/>
        <w:bottom w:val="none" w:sz="0" w:space="0" w:color="auto"/>
        <w:right w:val="none" w:sz="0" w:space="0" w:color="auto"/>
      </w:divBdr>
    </w:div>
    <w:div w:id="1253315904">
      <w:bodyDiv w:val="1"/>
      <w:marLeft w:val="0"/>
      <w:marRight w:val="0"/>
      <w:marTop w:val="0"/>
      <w:marBottom w:val="0"/>
      <w:divBdr>
        <w:top w:val="none" w:sz="0" w:space="0" w:color="auto"/>
        <w:left w:val="none" w:sz="0" w:space="0" w:color="auto"/>
        <w:bottom w:val="none" w:sz="0" w:space="0" w:color="auto"/>
        <w:right w:val="none" w:sz="0" w:space="0" w:color="auto"/>
      </w:divBdr>
    </w:div>
    <w:div w:id="1284574950">
      <w:bodyDiv w:val="1"/>
      <w:marLeft w:val="0"/>
      <w:marRight w:val="0"/>
      <w:marTop w:val="0"/>
      <w:marBottom w:val="0"/>
      <w:divBdr>
        <w:top w:val="none" w:sz="0" w:space="0" w:color="auto"/>
        <w:left w:val="none" w:sz="0" w:space="0" w:color="auto"/>
        <w:bottom w:val="none" w:sz="0" w:space="0" w:color="auto"/>
        <w:right w:val="none" w:sz="0" w:space="0" w:color="auto"/>
      </w:divBdr>
    </w:div>
    <w:div w:id="1383751784">
      <w:bodyDiv w:val="1"/>
      <w:marLeft w:val="0"/>
      <w:marRight w:val="0"/>
      <w:marTop w:val="0"/>
      <w:marBottom w:val="0"/>
      <w:divBdr>
        <w:top w:val="none" w:sz="0" w:space="0" w:color="auto"/>
        <w:left w:val="none" w:sz="0" w:space="0" w:color="auto"/>
        <w:bottom w:val="none" w:sz="0" w:space="0" w:color="auto"/>
        <w:right w:val="none" w:sz="0" w:space="0" w:color="auto"/>
      </w:divBdr>
    </w:div>
    <w:div w:id="1450200075">
      <w:bodyDiv w:val="1"/>
      <w:marLeft w:val="0"/>
      <w:marRight w:val="0"/>
      <w:marTop w:val="0"/>
      <w:marBottom w:val="0"/>
      <w:divBdr>
        <w:top w:val="none" w:sz="0" w:space="0" w:color="auto"/>
        <w:left w:val="none" w:sz="0" w:space="0" w:color="auto"/>
        <w:bottom w:val="none" w:sz="0" w:space="0" w:color="auto"/>
        <w:right w:val="none" w:sz="0" w:space="0" w:color="auto"/>
      </w:divBdr>
    </w:div>
    <w:div w:id="1509364908">
      <w:bodyDiv w:val="1"/>
      <w:marLeft w:val="0"/>
      <w:marRight w:val="0"/>
      <w:marTop w:val="0"/>
      <w:marBottom w:val="0"/>
      <w:divBdr>
        <w:top w:val="none" w:sz="0" w:space="0" w:color="auto"/>
        <w:left w:val="none" w:sz="0" w:space="0" w:color="auto"/>
        <w:bottom w:val="none" w:sz="0" w:space="0" w:color="auto"/>
        <w:right w:val="none" w:sz="0" w:space="0" w:color="auto"/>
      </w:divBdr>
    </w:div>
    <w:div w:id="1580141275">
      <w:bodyDiv w:val="1"/>
      <w:marLeft w:val="0"/>
      <w:marRight w:val="0"/>
      <w:marTop w:val="0"/>
      <w:marBottom w:val="0"/>
      <w:divBdr>
        <w:top w:val="none" w:sz="0" w:space="0" w:color="auto"/>
        <w:left w:val="none" w:sz="0" w:space="0" w:color="auto"/>
        <w:bottom w:val="none" w:sz="0" w:space="0" w:color="auto"/>
        <w:right w:val="none" w:sz="0" w:space="0" w:color="auto"/>
      </w:divBdr>
    </w:div>
    <w:div w:id="1626811976">
      <w:bodyDiv w:val="1"/>
      <w:marLeft w:val="0"/>
      <w:marRight w:val="0"/>
      <w:marTop w:val="0"/>
      <w:marBottom w:val="0"/>
      <w:divBdr>
        <w:top w:val="none" w:sz="0" w:space="0" w:color="auto"/>
        <w:left w:val="none" w:sz="0" w:space="0" w:color="auto"/>
        <w:bottom w:val="none" w:sz="0" w:space="0" w:color="auto"/>
        <w:right w:val="none" w:sz="0" w:space="0" w:color="auto"/>
      </w:divBdr>
    </w:div>
    <w:div w:id="1662200870">
      <w:bodyDiv w:val="1"/>
      <w:marLeft w:val="0"/>
      <w:marRight w:val="0"/>
      <w:marTop w:val="0"/>
      <w:marBottom w:val="0"/>
      <w:divBdr>
        <w:top w:val="none" w:sz="0" w:space="0" w:color="auto"/>
        <w:left w:val="none" w:sz="0" w:space="0" w:color="auto"/>
        <w:bottom w:val="none" w:sz="0" w:space="0" w:color="auto"/>
        <w:right w:val="none" w:sz="0" w:space="0" w:color="auto"/>
      </w:divBdr>
    </w:div>
    <w:div w:id="1812670076">
      <w:bodyDiv w:val="1"/>
      <w:marLeft w:val="0"/>
      <w:marRight w:val="0"/>
      <w:marTop w:val="0"/>
      <w:marBottom w:val="0"/>
      <w:divBdr>
        <w:top w:val="none" w:sz="0" w:space="0" w:color="auto"/>
        <w:left w:val="none" w:sz="0" w:space="0" w:color="auto"/>
        <w:bottom w:val="none" w:sz="0" w:space="0" w:color="auto"/>
        <w:right w:val="none" w:sz="0" w:space="0" w:color="auto"/>
      </w:divBdr>
    </w:div>
    <w:div w:id="1821649031">
      <w:bodyDiv w:val="1"/>
      <w:marLeft w:val="0"/>
      <w:marRight w:val="0"/>
      <w:marTop w:val="0"/>
      <w:marBottom w:val="0"/>
      <w:divBdr>
        <w:top w:val="none" w:sz="0" w:space="0" w:color="auto"/>
        <w:left w:val="none" w:sz="0" w:space="0" w:color="auto"/>
        <w:bottom w:val="none" w:sz="0" w:space="0" w:color="auto"/>
        <w:right w:val="none" w:sz="0" w:space="0" w:color="auto"/>
      </w:divBdr>
    </w:div>
    <w:div w:id="1991013311">
      <w:bodyDiv w:val="1"/>
      <w:marLeft w:val="0"/>
      <w:marRight w:val="0"/>
      <w:marTop w:val="0"/>
      <w:marBottom w:val="0"/>
      <w:divBdr>
        <w:top w:val="none" w:sz="0" w:space="0" w:color="auto"/>
        <w:left w:val="none" w:sz="0" w:space="0" w:color="auto"/>
        <w:bottom w:val="none" w:sz="0" w:space="0" w:color="auto"/>
        <w:right w:val="none" w:sz="0" w:space="0" w:color="auto"/>
      </w:divBdr>
    </w:div>
    <w:div w:id="20994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ts.state.de.us/opinions/download.aspx?ID=2054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file:///P:/baker-testimony.pdf" TargetMode="External"/><Relationship Id="rId13" Type="http://schemas.openxmlformats.org/officeDocument/2006/relationships/hyperlink" Target="http://www.sec.gov/edgar.shtml" TargetMode="External"/><Relationship Id="rId3" Type="http://schemas.openxmlformats.org/officeDocument/2006/relationships/hyperlink" Target="http://www.un.org/esa/%20sustdev/publications/industrial_development/1_2.pdf" TargetMode="External"/><Relationship Id="rId7" Type="http://schemas.openxmlformats.org/officeDocument/2006/relationships/hyperlink" Target="http://www.blbglaw.com/news/publications/data/00171/_res/id=File1/Adv_Summer2014_%20Rakoff.pdf" TargetMode="External"/><Relationship Id="rId12" Type="http://schemas.openxmlformats.org/officeDocument/2006/relationships/hyperlink" Target="https://www.cornerstone.com/CMSPages/GetFile.%20aspx?guid=9d8fd78f-7807-485a-a8fc-4ec4182dedd6" TargetMode="External"/><Relationship Id="rId2" Type="http://schemas.openxmlformats.org/officeDocument/2006/relationships/hyperlink" Target="http://www.bain.com/publications/%20business-insights/global-private-equity-report.aspx" TargetMode="External"/><Relationship Id="rId1" Type="http://schemas.openxmlformats.org/officeDocument/2006/relationships/hyperlink" Target="http://www.bis.org/statistics/derstats.%20htm" TargetMode="External"/><Relationship Id="rId6" Type="http://schemas.openxmlformats.org/officeDocument/2006/relationships/hyperlink" Target="http://lib.law.virginia.edu/Garrett/plea_agreements/home.php" TargetMode="External"/><Relationship Id="rId11" Type="http://schemas.openxmlformats.org/officeDocument/2006/relationships/hyperlink" Target="http://www.law.virginia.edu/pdf/news/first_amendment_clinic_doj_lawsuit.pdf" TargetMode="External"/><Relationship Id="rId5" Type="http://schemas.openxmlformats.org/officeDocument/2006/relationships/hyperlink" Target="http://lib.law.virginia.edu/Garrett/prosecution_agreements/home.suphp" TargetMode="External"/><Relationship Id="rId10" Type="http://schemas.openxmlformats.org/officeDocument/2006/relationships/hyperlink" Target="http://www.businessinsider.com/r-bank-settlements-create-windfall-for-us-and-wrangling-over-how-it-is-spent-2014-24" TargetMode="External"/><Relationship Id="rId4" Type="http://schemas.openxmlformats.org/officeDocument/2006/relationships/hyperlink" Target="http://judiciary.house.gov/index.cfm/2014/2/house-judiciary-committee-reauthorizes-bipartisan-over-criminalization-task-force" TargetMode="External"/><Relationship Id="rId9" Type="http://schemas.openxmlformats.org/officeDocument/2006/relationships/hyperlink" Target="http://www.nationallawjournal.com/legaltimes/id=1202676887131/Feds-Collect-247B-in-PenaltiesMostly-From-Big-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4998-6FC1-4E63-BCDB-5CD65DF4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3135</TotalTime>
  <Pages>26</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dc:creator>
  <cp:lastModifiedBy>Gary W. Derrick</cp:lastModifiedBy>
  <cp:revision>301</cp:revision>
  <cp:lastPrinted>2014-11-26T01:00:00Z</cp:lastPrinted>
  <dcterms:created xsi:type="dcterms:W3CDTF">2014-02-14T23:37:00Z</dcterms:created>
  <dcterms:modified xsi:type="dcterms:W3CDTF">2014-12-01T00:00:00Z</dcterms:modified>
</cp:coreProperties>
</file>