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18" w:rsidRPr="00363BC9" w:rsidRDefault="00331B18" w:rsidP="00331B18">
      <w:pPr>
        <w:spacing w:before="0"/>
        <w:jc w:val="center"/>
        <w:rPr>
          <w:rFonts w:eastAsia="Times New Roman"/>
          <w:szCs w:val="24"/>
        </w:rPr>
      </w:pPr>
    </w:p>
    <w:p w:rsidR="00331B18" w:rsidRPr="00363BC9" w:rsidRDefault="00331B18" w:rsidP="00331B18">
      <w:pPr>
        <w:keepNext/>
        <w:overflowPunct w:val="0"/>
        <w:spacing w:before="240" w:after="60"/>
        <w:jc w:val="center"/>
        <w:textAlignment w:val="baseline"/>
        <w:outlineLvl w:val="0"/>
        <w:rPr>
          <w:rFonts w:eastAsia="Times New Roman" w:cs="Arial"/>
          <w:b/>
          <w:caps/>
          <w:kern w:val="32"/>
          <w:szCs w:val="32"/>
        </w:rPr>
      </w:pPr>
      <w:r w:rsidRPr="00363BC9">
        <w:rPr>
          <w:rFonts w:eastAsia="Times New Roman" w:cs="Arial"/>
          <w:b/>
          <w:caps/>
          <w:kern w:val="32"/>
          <w:szCs w:val="32"/>
        </w:rPr>
        <w:t>recent DEVELOPMENTS in</w:t>
      </w:r>
    </w:p>
    <w:p w:rsidR="00331B18" w:rsidRPr="00363BC9" w:rsidRDefault="00331B18" w:rsidP="00331B18">
      <w:pPr>
        <w:keepNext/>
        <w:overflowPunct w:val="0"/>
        <w:spacing w:before="240" w:after="60"/>
        <w:jc w:val="center"/>
        <w:textAlignment w:val="baseline"/>
        <w:outlineLvl w:val="0"/>
        <w:rPr>
          <w:rFonts w:eastAsia="Times New Roman" w:cs="Arial"/>
          <w:b/>
          <w:caps/>
          <w:kern w:val="32"/>
          <w:szCs w:val="32"/>
        </w:rPr>
      </w:pPr>
      <w:r w:rsidRPr="00363BC9">
        <w:rPr>
          <w:rFonts w:eastAsia="Times New Roman" w:cs="Arial"/>
          <w:b/>
          <w:caps/>
          <w:kern w:val="32"/>
          <w:szCs w:val="32"/>
        </w:rPr>
        <w:t xml:space="preserve">OKLAHOMA business and corporate law </w:t>
      </w:r>
      <w:r w:rsidRPr="00363BC9">
        <w:rPr>
          <w:rFonts w:eastAsia="Times New Roman" w:cs="Arial"/>
          <w:b/>
          <w:caps/>
          <w:kern w:val="32"/>
          <w:szCs w:val="32"/>
        </w:rPr>
        <w:noBreakHyphen/>
        <w:t> </w:t>
      </w:r>
      <w:r w:rsidR="00132081">
        <w:rPr>
          <w:rFonts w:eastAsia="Times New Roman" w:cs="Arial"/>
          <w:b/>
          <w:caps/>
          <w:kern w:val="32"/>
          <w:szCs w:val="32"/>
        </w:rPr>
        <w:t>2013</w:t>
      </w:r>
    </w:p>
    <w:p w:rsidR="00331B18" w:rsidRPr="00363BC9" w:rsidRDefault="00331B18" w:rsidP="00331B18">
      <w:pPr>
        <w:spacing w:before="0"/>
        <w:jc w:val="center"/>
        <w:rPr>
          <w:rFonts w:eastAsia="Times New Roman"/>
          <w:b/>
          <w:bCs/>
          <w:szCs w:val="24"/>
        </w:rPr>
      </w:pPr>
    </w:p>
    <w:p w:rsidR="00331B18" w:rsidRPr="00363BC9" w:rsidRDefault="00331B18" w:rsidP="00331B18">
      <w:pPr>
        <w:spacing w:before="0"/>
        <w:jc w:val="center"/>
        <w:rPr>
          <w:rFonts w:eastAsia="Times New Roman"/>
          <w:b/>
          <w:bCs/>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240" w:after="240"/>
        <w:jc w:val="center"/>
        <w:rPr>
          <w:rFonts w:eastAsia="Times New Roman"/>
          <w:szCs w:val="24"/>
        </w:rPr>
      </w:pPr>
    </w:p>
    <w:p w:rsidR="00331B18" w:rsidRPr="00363BC9" w:rsidRDefault="00331B18" w:rsidP="00331B18">
      <w:pPr>
        <w:spacing w:before="0"/>
        <w:jc w:val="center"/>
        <w:rPr>
          <w:rFonts w:eastAsia="Times New Roman"/>
          <w:szCs w:val="24"/>
        </w:rPr>
      </w:pPr>
      <w:r w:rsidRPr="00363BC9">
        <w:rPr>
          <w:rFonts w:eastAsia="Times New Roman"/>
          <w:szCs w:val="24"/>
        </w:rPr>
        <w:t>Gary W. Derrick</w:t>
      </w:r>
    </w:p>
    <w:p w:rsidR="00331B18" w:rsidRPr="00363BC9" w:rsidRDefault="00331B18" w:rsidP="00331B18">
      <w:pPr>
        <w:spacing w:before="0"/>
        <w:jc w:val="center"/>
        <w:rPr>
          <w:rFonts w:eastAsia="Times New Roman"/>
          <w:szCs w:val="24"/>
        </w:rPr>
      </w:pPr>
      <w:r w:rsidRPr="00363BC9">
        <w:rPr>
          <w:rFonts w:eastAsia="Times New Roman"/>
          <w:szCs w:val="24"/>
        </w:rPr>
        <w:t>Derrick &amp; Briggs, LLP</w:t>
      </w: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spacing w:before="0"/>
        <w:jc w:val="center"/>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ind w:firstLine="720"/>
        <w:jc w:val="right"/>
        <w:rPr>
          <w:rFonts w:eastAsia="Times New Roman"/>
          <w:szCs w:val="24"/>
        </w:rPr>
      </w:pPr>
    </w:p>
    <w:p w:rsidR="00331B18" w:rsidRPr="00363BC9" w:rsidRDefault="00331B18" w:rsidP="00331B18">
      <w:pPr>
        <w:jc w:val="right"/>
        <w:rPr>
          <w:rFonts w:eastAsia="Times New Roman"/>
          <w:szCs w:val="24"/>
        </w:rPr>
      </w:pPr>
    </w:p>
    <w:p w:rsidR="00331B18" w:rsidRPr="00363BC9" w:rsidRDefault="00331B18" w:rsidP="00331B18">
      <w:pPr>
        <w:ind w:firstLine="720"/>
        <w:rPr>
          <w:rFonts w:eastAsia="Times New Roman"/>
          <w:szCs w:val="24"/>
        </w:rPr>
        <w:sectPr w:rsidR="00331B18" w:rsidRPr="00363BC9">
          <w:footerReference w:type="even" r:id="rId8"/>
          <w:footerReference w:type="default" r:id="rId9"/>
          <w:footerReference w:type="first" r:id="rId10"/>
          <w:pgSz w:w="12240" w:h="15840" w:code="1"/>
          <w:pgMar w:top="4320" w:right="1800" w:bottom="1440" w:left="1800" w:header="720" w:footer="720" w:gutter="0"/>
          <w:paperSrc w:first="11"/>
          <w:pgNumType w:start="2"/>
          <w:cols w:space="720"/>
          <w:titlePg/>
        </w:sectPr>
      </w:pPr>
    </w:p>
    <w:p w:rsidR="00331B18" w:rsidRPr="00363BC9" w:rsidRDefault="00331B18" w:rsidP="00331B18">
      <w:pPr>
        <w:keepNext/>
        <w:overflowPunct w:val="0"/>
        <w:spacing w:before="240" w:after="60"/>
        <w:jc w:val="center"/>
        <w:textAlignment w:val="baseline"/>
        <w:outlineLvl w:val="0"/>
        <w:rPr>
          <w:rFonts w:eastAsia="Times New Roman" w:cs="Arial"/>
          <w:b/>
          <w:caps/>
          <w:kern w:val="32"/>
          <w:szCs w:val="32"/>
        </w:rPr>
      </w:pPr>
      <w:r w:rsidRPr="00363BC9">
        <w:rPr>
          <w:rFonts w:eastAsia="Times New Roman" w:cs="Arial"/>
          <w:b/>
          <w:caps/>
          <w:kern w:val="32"/>
          <w:szCs w:val="32"/>
        </w:rPr>
        <w:lastRenderedPageBreak/>
        <w:t xml:space="preserve">recent DEVELOPMENTS in </w:t>
      </w:r>
      <w:r w:rsidRPr="00363BC9">
        <w:rPr>
          <w:rFonts w:eastAsia="Times New Roman" w:cs="Arial"/>
          <w:b/>
          <w:caps/>
          <w:kern w:val="32"/>
          <w:szCs w:val="32"/>
        </w:rPr>
        <w:br/>
        <w:t xml:space="preserve">OKLAHOMA business and corporate law </w:t>
      </w:r>
      <w:r w:rsidRPr="00363BC9">
        <w:rPr>
          <w:rFonts w:eastAsia="Times New Roman" w:cs="Arial"/>
          <w:b/>
          <w:caps/>
          <w:kern w:val="32"/>
          <w:szCs w:val="32"/>
        </w:rPr>
        <w:noBreakHyphen/>
        <w:t> </w:t>
      </w:r>
      <w:r w:rsidR="00132081">
        <w:rPr>
          <w:rFonts w:eastAsia="Times New Roman" w:cs="Arial"/>
          <w:b/>
          <w:caps/>
          <w:kern w:val="32"/>
          <w:szCs w:val="32"/>
        </w:rPr>
        <w:t>2013</w:t>
      </w:r>
    </w:p>
    <w:p w:rsidR="00331B18" w:rsidRPr="00363BC9" w:rsidRDefault="00331B18" w:rsidP="00836869">
      <w:pPr>
        <w:keepNext/>
        <w:overflowPunct w:val="0"/>
        <w:spacing w:before="360" w:after="60"/>
        <w:textAlignment w:val="baseline"/>
        <w:outlineLvl w:val="1"/>
        <w:rPr>
          <w:rFonts w:eastAsia="Times New Roman"/>
          <w:b/>
        </w:rPr>
      </w:pPr>
      <w:r w:rsidRPr="00363BC9">
        <w:rPr>
          <w:rFonts w:eastAsia="Times New Roman"/>
          <w:b/>
        </w:rPr>
        <w:t>Introduction</w:t>
      </w:r>
      <w:r w:rsidR="00B63E36">
        <w:rPr>
          <w:rFonts w:eastAsia="Times New Roman"/>
          <w:b/>
        </w:rPr>
        <w:t xml:space="preserve"> </w:t>
      </w:r>
    </w:p>
    <w:p w:rsidR="00D81C32" w:rsidRDefault="00D81C32" w:rsidP="00C04ED3">
      <w:pPr>
        <w:overflowPunct w:val="0"/>
        <w:spacing w:line="360" w:lineRule="auto"/>
        <w:ind w:firstLine="720"/>
        <w:textAlignment w:val="baseline"/>
        <w:rPr>
          <w:rFonts w:eastAsia="Times New Roman"/>
        </w:rPr>
      </w:pPr>
      <w:r w:rsidRPr="00363BC9">
        <w:rPr>
          <w:rFonts w:eastAsia="Times New Roman"/>
        </w:rPr>
        <w:t xml:space="preserve">The economic recession and the Federal regulatory response have </w:t>
      </w:r>
      <w:r>
        <w:rPr>
          <w:rFonts w:eastAsia="Times New Roman"/>
        </w:rPr>
        <w:t>dominated this topic since 2007</w:t>
      </w:r>
      <w:r w:rsidRPr="00363BC9">
        <w:rPr>
          <w:rFonts w:eastAsia="Times New Roman"/>
        </w:rPr>
        <w:t xml:space="preserve">.  </w:t>
      </w:r>
      <w:r>
        <w:rPr>
          <w:rFonts w:eastAsia="Times New Roman"/>
        </w:rPr>
        <w:t>W</w:t>
      </w:r>
      <w:r w:rsidRPr="00363BC9">
        <w:rPr>
          <w:rFonts w:eastAsia="Times New Roman"/>
        </w:rPr>
        <w:t xml:space="preserve">e have talked about the mortgage crisis, the derivatives markets, the collapse of global financial institutions, an unsettling, world-wide economic downturn, Federal bailouts and sweeping regulatory changes.  </w:t>
      </w:r>
      <w:r>
        <w:rPr>
          <w:rFonts w:eastAsia="Times New Roman"/>
        </w:rPr>
        <w:t xml:space="preserve">And the dominance is rightfully so.  The pace and degree of change in </w:t>
      </w:r>
      <w:r w:rsidRPr="00363BC9">
        <w:rPr>
          <w:rFonts w:eastAsia="Times New Roman"/>
        </w:rPr>
        <w:t xml:space="preserve">this area of law </w:t>
      </w:r>
      <w:r>
        <w:rPr>
          <w:rFonts w:eastAsia="Times New Roman"/>
        </w:rPr>
        <w:t>race to catch</w:t>
      </w:r>
      <w:r w:rsidRPr="00363BC9">
        <w:rPr>
          <w:rFonts w:eastAsia="Times New Roman"/>
        </w:rPr>
        <w:t xml:space="preserve"> </w:t>
      </w:r>
      <w:r>
        <w:rPr>
          <w:rFonts w:eastAsia="Times New Roman"/>
        </w:rPr>
        <w:t>m</w:t>
      </w:r>
      <w:r w:rsidRPr="00363BC9">
        <w:rPr>
          <w:rFonts w:eastAsia="Times New Roman"/>
        </w:rPr>
        <w:t xml:space="preserve">arkets and industries </w:t>
      </w:r>
      <w:r>
        <w:rPr>
          <w:rFonts w:eastAsia="Times New Roman"/>
        </w:rPr>
        <w:t xml:space="preserve">that come and go and morph </w:t>
      </w:r>
      <w:r w:rsidRPr="00363BC9">
        <w:rPr>
          <w:rFonts w:eastAsia="Times New Roman"/>
        </w:rPr>
        <w:t>in unexpected ways.</w:t>
      </w:r>
      <w:r w:rsidRPr="00363BC9">
        <w:rPr>
          <w:rStyle w:val="FootnoteReference"/>
          <w:rFonts w:eastAsia="Times New Roman"/>
        </w:rPr>
        <w:footnoteReference w:id="1"/>
      </w:r>
      <w:r w:rsidRPr="00363BC9">
        <w:rPr>
          <w:rFonts w:eastAsia="Times New Roman"/>
        </w:rPr>
        <w:t xml:space="preserve">  The combination of technological advances, increased information flows, greater productivity, and globalized expansion have produced a rate of global economic change not witnessed since the Industrial Revolution.</w:t>
      </w:r>
      <w:r w:rsidRPr="00363BC9">
        <w:rPr>
          <w:rStyle w:val="FootnoteReference"/>
          <w:rFonts w:eastAsia="Times New Roman"/>
        </w:rPr>
        <w:footnoteReference w:id="2"/>
      </w:r>
      <w:r w:rsidRPr="00363BC9">
        <w:rPr>
          <w:rFonts w:eastAsia="Times New Roman"/>
        </w:rPr>
        <w:t xml:space="preserve">  One could argue that the rapid pace of change within the financial markets – and the inability of investors and regulators to fully understand the changes – was a principal cause of the financial collapse and resulting recession.</w:t>
      </w:r>
      <w:r w:rsidRPr="00363BC9">
        <w:rPr>
          <w:rStyle w:val="FootnoteReference"/>
          <w:rFonts w:eastAsia="Times New Roman"/>
        </w:rPr>
        <w:footnoteReference w:id="3"/>
      </w:r>
      <w:r w:rsidRPr="00363BC9">
        <w:rPr>
          <w:rFonts w:eastAsia="Times New Roman"/>
        </w:rPr>
        <w:t xml:space="preserve"> </w:t>
      </w:r>
    </w:p>
    <w:p w:rsidR="00771CDC" w:rsidRDefault="00771CDC" w:rsidP="00C04ED3">
      <w:pPr>
        <w:overflowPunct w:val="0"/>
        <w:spacing w:line="360" w:lineRule="auto"/>
        <w:ind w:firstLine="720"/>
        <w:textAlignment w:val="baseline"/>
        <w:rPr>
          <w:rFonts w:eastAsia="Times New Roman"/>
        </w:rPr>
      </w:pPr>
      <w:r w:rsidRPr="00363BC9">
        <w:rPr>
          <w:rFonts w:eastAsia="Times New Roman"/>
        </w:rPr>
        <w:lastRenderedPageBreak/>
        <w:t xml:space="preserve">But </w:t>
      </w:r>
      <w:r>
        <w:rPr>
          <w:rFonts w:eastAsia="Times New Roman"/>
        </w:rPr>
        <w:t xml:space="preserve">as </w:t>
      </w:r>
      <w:r w:rsidRPr="00363BC9">
        <w:rPr>
          <w:rFonts w:eastAsia="Times New Roman"/>
        </w:rPr>
        <w:t xml:space="preserve">we </w:t>
      </w:r>
      <w:r>
        <w:rPr>
          <w:rFonts w:eastAsia="Times New Roman"/>
        </w:rPr>
        <w:t xml:space="preserve">note the recession and </w:t>
      </w:r>
      <w:r w:rsidRPr="00363BC9">
        <w:rPr>
          <w:rFonts w:eastAsia="Times New Roman"/>
        </w:rPr>
        <w:t>regulatory response</w:t>
      </w:r>
      <w:r>
        <w:rPr>
          <w:rFonts w:eastAsia="Times New Roman"/>
        </w:rPr>
        <w:t>, we should not neglect o</w:t>
      </w:r>
      <w:r w:rsidRPr="00363BC9">
        <w:rPr>
          <w:rFonts w:eastAsia="Times New Roman"/>
        </w:rPr>
        <w:t xml:space="preserve">ther developments </w:t>
      </w:r>
      <w:r>
        <w:rPr>
          <w:rFonts w:eastAsia="Times New Roman"/>
        </w:rPr>
        <w:t xml:space="preserve">that are notable </w:t>
      </w:r>
      <w:r w:rsidRPr="00363BC9">
        <w:rPr>
          <w:rFonts w:eastAsia="Times New Roman"/>
        </w:rPr>
        <w:t xml:space="preserve">in their own right.  </w:t>
      </w:r>
      <w:r w:rsidR="009763E0">
        <w:rPr>
          <w:rFonts w:eastAsia="Times New Roman"/>
        </w:rPr>
        <w:t>We covered the massive JOBS Act</w:t>
      </w:r>
      <w:r w:rsidR="007C6E3E">
        <w:rPr>
          <w:rFonts w:eastAsia="Times New Roman"/>
        </w:rPr>
        <w:t xml:space="preserve"> last year</w:t>
      </w:r>
      <w:r w:rsidR="009763E0">
        <w:rPr>
          <w:rFonts w:eastAsia="Times New Roman"/>
        </w:rPr>
        <w:t>.</w:t>
      </w:r>
      <w:r w:rsidR="009763E0" w:rsidRPr="00363BC9">
        <w:rPr>
          <w:rStyle w:val="FootnoteReference"/>
          <w:rFonts w:eastAsia="Times New Roman"/>
        </w:rPr>
        <w:footnoteReference w:id="4"/>
      </w:r>
      <w:r w:rsidR="009763E0">
        <w:rPr>
          <w:rFonts w:eastAsia="Times New Roman"/>
        </w:rPr>
        <w:t xml:space="preserve">  A comprehensive update is not warranted, but </w:t>
      </w:r>
      <w:r w:rsidR="00A2112B">
        <w:rPr>
          <w:rFonts w:eastAsia="Times New Roman"/>
        </w:rPr>
        <w:t>two significant developments in the area of exempt securities offerings</w:t>
      </w:r>
      <w:r w:rsidR="00B01993">
        <w:rPr>
          <w:rFonts w:eastAsia="Times New Roman"/>
        </w:rPr>
        <w:t xml:space="preserve"> deserve attention</w:t>
      </w:r>
      <w:r w:rsidR="00A2112B">
        <w:rPr>
          <w:rFonts w:eastAsia="Times New Roman"/>
        </w:rPr>
        <w:t xml:space="preserve">:  the elimination of the general solicitation prohibition under Rule 506 of Regulation D and the release of proposed rules for the crowdfunding exemption.  </w:t>
      </w:r>
    </w:p>
    <w:p w:rsidR="00C04ED3" w:rsidRDefault="00C04ED3" w:rsidP="00C04ED3">
      <w:pPr>
        <w:overflowPunct w:val="0"/>
        <w:spacing w:line="360" w:lineRule="auto"/>
        <w:ind w:firstLine="720"/>
        <w:textAlignment w:val="baseline"/>
        <w:rPr>
          <w:rFonts w:eastAsia="Times New Roman"/>
        </w:rPr>
      </w:pPr>
      <w:r>
        <w:rPr>
          <w:rFonts w:eastAsia="Times New Roman"/>
        </w:rPr>
        <w:t>National events have not diminished state</w:t>
      </w:r>
      <w:r w:rsidR="009D33DC">
        <w:rPr>
          <w:rFonts w:eastAsia="Times New Roman"/>
        </w:rPr>
        <w:t xml:space="preserve"> </w:t>
      </w:r>
      <w:r>
        <w:rPr>
          <w:rFonts w:eastAsia="Times New Roman"/>
        </w:rPr>
        <w:t xml:space="preserve">level activity.  There are notable Delaware developments that </w:t>
      </w:r>
      <w:r w:rsidR="006A1659">
        <w:rPr>
          <w:rFonts w:eastAsia="Times New Roman"/>
        </w:rPr>
        <w:t>may influence Oklahoma law</w:t>
      </w:r>
      <w:r>
        <w:rPr>
          <w:rFonts w:eastAsia="Times New Roman"/>
        </w:rPr>
        <w:t xml:space="preserve">. </w:t>
      </w:r>
      <w:r w:rsidR="006A1659">
        <w:rPr>
          <w:rFonts w:eastAsia="Times New Roman"/>
        </w:rPr>
        <w:t xml:space="preserve"> </w:t>
      </w:r>
      <w:r>
        <w:rPr>
          <w:rFonts w:eastAsia="Times New Roman"/>
        </w:rPr>
        <w:t xml:space="preserve">We also have activity in Oklahoma.  </w:t>
      </w:r>
      <w:r w:rsidR="00737E20">
        <w:rPr>
          <w:rFonts w:eastAsia="Times New Roman"/>
        </w:rPr>
        <w:t>T</w:t>
      </w:r>
      <w:r>
        <w:rPr>
          <w:rFonts w:eastAsia="Times New Roman"/>
        </w:rPr>
        <w:t xml:space="preserve">wo major bills </w:t>
      </w:r>
      <w:r w:rsidR="00737E20">
        <w:rPr>
          <w:rFonts w:eastAsia="Times New Roman"/>
        </w:rPr>
        <w:t xml:space="preserve">are </w:t>
      </w:r>
      <w:r>
        <w:rPr>
          <w:rFonts w:eastAsia="Times New Roman"/>
        </w:rPr>
        <w:t xml:space="preserve">pending before the Legislature dealing with business entities.  HB 1995 would update the OGCA and LLC Act.  HB 1996 would adopt the Revised Uniform Unincorporated Nonprofit Association Act.  We also have recent cases touching on business and corporate law.  </w:t>
      </w:r>
    </w:p>
    <w:p w:rsidR="007231B3" w:rsidRPr="00363BC9" w:rsidRDefault="00F663A0" w:rsidP="007231B3">
      <w:pPr>
        <w:pStyle w:val="Heading3"/>
        <w:rPr>
          <w:rFonts w:eastAsia="Times New Roman"/>
        </w:rPr>
      </w:pPr>
      <w:r w:rsidRPr="00363BC9">
        <w:rPr>
          <w:rFonts w:eastAsia="Times New Roman"/>
        </w:rPr>
        <w:t xml:space="preserve">The JOBS Act </w:t>
      </w:r>
      <w:r>
        <w:rPr>
          <w:rFonts w:eastAsia="Times New Roman"/>
        </w:rPr>
        <w:t xml:space="preserve">– Exempt </w:t>
      </w:r>
      <w:r w:rsidRPr="00363BC9">
        <w:rPr>
          <w:rFonts w:eastAsia="Times New Roman"/>
        </w:rPr>
        <w:t>Offering Changes</w:t>
      </w:r>
    </w:p>
    <w:p w:rsidR="004918DF" w:rsidRPr="00363BC9" w:rsidRDefault="00F663A0" w:rsidP="00F663A0">
      <w:pPr>
        <w:pStyle w:val="Heading4"/>
        <w:spacing w:before="0"/>
        <w:rPr>
          <w:rFonts w:eastAsia="Times New Roman"/>
        </w:rPr>
      </w:pPr>
      <w:r>
        <w:rPr>
          <w:rFonts w:eastAsia="Times New Roman"/>
        </w:rPr>
        <w:t xml:space="preserve">Elimination of </w:t>
      </w:r>
      <w:r w:rsidR="008335F7">
        <w:rPr>
          <w:rFonts w:eastAsia="Times New Roman"/>
        </w:rPr>
        <w:t xml:space="preserve">the </w:t>
      </w:r>
      <w:r>
        <w:rPr>
          <w:rFonts w:eastAsia="Times New Roman"/>
        </w:rPr>
        <w:t>General Solicitation Prohibition</w:t>
      </w:r>
    </w:p>
    <w:p w:rsidR="004918DF" w:rsidRPr="00363BC9" w:rsidRDefault="004918DF" w:rsidP="00F663A0">
      <w:pPr>
        <w:overflowPunct w:val="0"/>
        <w:spacing w:before="240" w:line="360" w:lineRule="auto"/>
        <w:ind w:firstLine="720"/>
        <w:textAlignment w:val="baseline"/>
        <w:rPr>
          <w:rFonts w:eastAsia="Times New Roman"/>
        </w:rPr>
      </w:pPr>
      <w:r w:rsidRPr="00363BC9">
        <w:rPr>
          <w:rFonts w:eastAsia="Times New Roman"/>
        </w:rPr>
        <w:t xml:space="preserve">In addition to opening the crowdfunding door, </w:t>
      </w:r>
      <w:r w:rsidR="00F663A0">
        <w:rPr>
          <w:rFonts w:eastAsia="Times New Roman"/>
        </w:rPr>
        <w:t>t</w:t>
      </w:r>
      <w:r w:rsidRPr="00363BC9">
        <w:rPr>
          <w:rFonts w:eastAsia="Times New Roman"/>
        </w:rPr>
        <w:t>he JOBS Act liberalized the rules for exempt private offerings.</w:t>
      </w:r>
      <w:r w:rsidR="00C20E8F">
        <w:rPr>
          <w:rStyle w:val="FootnoteReference"/>
          <w:rFonts w:eastAsia="Times New Roman"/>
        </w:rPr>
        <w:footnoteReference w:id="5"/>
      </w:r>
      <w:r w:rsidRPr="00363BC9">
        <w:rPr>
          <w:rFonts w:eastAsia="Times New Roman"/>
        </w:rPr>
        <w:t xml:space="preserve">  </w:t>
      </w:r>
      <w:r w:rsidR="00A13A19">
        <w:rPr>
          <w:rFonts w:eastAsia="Times New Roman"/>
        </w:rPr>
        <w:t>The private offering exemption has long been a staple under Federal and state securities laws and serves as the primary exemption from registration.</w:t>
      </w:r>
      <w:r w:rsidR="005C3686" w:rsidRPr="00363BC9">
        <w:rPr>
          <w:rStyle w:val="FootnoteReference"/>
          <w:rFonts w:eastAsia="Times New Roman"/>
        </w:rPr>
        <w:footnoteReference w:id="6"/>
      </w:r>
      <w:r w:rsidR="00A13A19">
        <w:rPr>
          <w:rFonts w:eastAsia="Times New Roman"/>
        </w:rPr>
        <w:t xml:space="preserve">  For just as long, a key element of the exemption has been </w:t>
      </w:r>
      <w:r w:rsidR="00204646">
        <w:rPr>
          <w:rFonts w:eastAsia="Times New Roman"/>
        </w:rPr>
        <w:t>a</w:t>
      </w:r>
      <w:r w:rsidR="00A13A19">
        <w:rPr>
          <w:rFonts w:eastAsia="Times New Roman"/>
        </w:rPr>
        <w:t xml:space="preserve"> prohibition on general solicitation.</w:t>
      </w:r>
      <w:r w:rsidR="005C3686" w:rsidRPr="00363BC9">
        <w:rPr>
          <w:rStyle w:val="FootnoteReference"/>
          <w:rFonts w:eastAsia="Times New Roman"/>
        </w:rPr>
        <w:footnoteReference w:id="7"/>
      </w:r>
      <w:r w:rsidR="00A13A19">
        <w:rPr>
          <w:rFonts w:eastAsia="Times New Roman"/>
        </w:rPr>
        <w:t xml:space="preserve">  In other words, an issuer could not </w:t>
      </w:r>
      <w:r w:rsidR="00A13A19" w:rsidRPr="00363BC9">
        <w:rPr>
          <w:rFonts w:eastAsia="Times New Roman"/>
        </w:rPr>
        <w:t xml:space="preserve">advertise its </w:t>
      </w:r>
      <w:r w:rsidR="00A13A19">
        <w:rPr>
          <w:rFonts w:eastAsia="Times New Roman"/>
        </w:rPr>
        <w:t xml:space="preserve">private </w:t>
      </w:r>
      <w:r w:rsidR="00A13A19" w:rsidRPr="00363BC9">
        <w:rPr>
          <w:rFonts w:eastAsia="Times New Roman"/>
        </w:rPr>
        <w:t>offering or publicly solicit investors.</w:t>
      </w:r>
      <w:r w:rsidR="00A13A19" w:rsidRPr="00363BC9">
        <w:rPr>
          <w:rStyle w:val="FootnoteReference"/>
          <w:rFonts w:eastAsia="Times New Roman"/>
        </w:rPr>
        <w:footnoteReference w:id="8"/>
      </w:r>
      <w:r w:rsidR="00A13A19" w:rsidRPr="00363BC9">
        <w:rPr>
          <w:rFonts w:eastAsia="Times New Roman"/>
        </w:rPr>
        <w:t xml:space="preserve"> </w:t>
      </w:r>
    </w:p>
    <w:p w:rsidR="00204646" w:rsidRDefault="008F061F" w:rsidP="004918DF">
      <w:pPr>
        <w:overflowPunct w:val="0"/>
        <w:spacing w:line="360" w:lineRule="auto"/>
        <w:ind w:firstLine="720"/>
        <w:textAlignment w:val="baseline"/>
        <w:rPr>
          <w:rFonts w:eastAsia="Times New Roman"/>
        </w:rPr>
      </w:pPr>
      <w:r>
        <w:rPr>
          <w:rFonts w:eastAsia="Times New Roman"/>
        </w:rPr>
        <w:lastRenderedPageBreak/>
        <w:t>T</w:t>
      </w:r>
      <w:r w:rsidRPr="00363BC9">
        <w:rPr>
          <w:rFonts w:eastAsia="Times New Roman"/>
        </w:rPr>
        <w:t xml:space="preserve">he JOBS Act removes </w:t>
      </w:r>
      <w:r>
        <w:rPr>
          <w:rFonts w:eastAsia="Times New Roman"/>
        </w:rPr>
        <w:t xml:space="preserve">the venerable general solicitation prohibition.  </w:t>
      </w:r>
      <w:r w:rsidR="00204646">
        <w:rPr>
          <w:rFonts w:eastAsia="Times New Roman"/>
        </w:rPr>
        <w:t>While the prohibition will remain for some private offerings, t</w:t>
      </w:r>
      <w:r w:rsidR="004918DF" w:rsidRPr="00363BC9">
        <w:rPr>
          <w:rFonts w:eastAsia="Times New Roman"/>
        </w:rPr>
        <w:t>he JOBS Act removes the general solicitation and advertising prohibition on offerings sold only to accredited investors</w:t>
      </w:r>
      <w:r w:rsidR="00204646">
        <w:rPr>
          <w:rFonts w:eastAsia="Times New Roman"/>
        </w:rPr>
        <w:t xml:space="preserve"> </w:t>
      </w:r>
      <w:r w:rsidR="004918DF" w:rsidRPr="00363BC9">
        <w:rPr>
          <w:rFonts w:eastAsia="Times New Roman"/>
        </w:rPr>
        <w:t xml:space="preserve">under </w:t>
      </w:r>
      <w:r w:rsidR="00204646">
        <w:rPr>
          <w:rFonts w:eastAsia="Times New Roman"/>
        </w:rPr>
        <w:t>a</w:t>
      </w:r>
      <w:r w:rsidR="004918DF">
        <w:rPr>
          <w:rFonts w:eastAsia="Times New Roman"/>
        </w:rPr>
        <w:t xml:space="preserve"> revised </w:t>
      </w:r>
      <w:r w:rsidR="004918DF" w:rsidRPr="00363BC9">
        <w:rPr>
          <w:rFonts w:eastAsia="Times New Roman"/>
        </w:rPr>
        <w:t>Rule 506</w:t>
      </w:r>
      <w:r w:rsidR="00204646" w:rsidRPr="00204646">
        <w:rPr>
          <w:rFonts w:eastAsia="Times New Roman"/>
        </w:rPr>
        <w:t xml:space="preserve"> </w:t>
      </w:r>
      <w:r w:rsidR="00204646" w:rsidRPr="00363BC9">
        <w:rPr>
          <w:rFonts w:eastAsia="Times New Roman"/>
        </w:rPr>
        <w:t>of Regulation D</w:t>
      </w:r>
      <w:r w:rsidR="004918DF" w:rsidRPr="00363BC9">
        <w:rPr>
          <w:rFonts w:eastAsia="Times New Roman"/>
        </w:rPr>
        <w:t>.</w:t>
      </w:r>
      <w:r w:rsidR="003C5041">
        <w:rPr>
          <w:rStyle w:val="FootnoteReference"/>
          <w:rFonts w:eastAsia="Times New Roman"/>
        </w:rPr>
        <w:footnoteReference w:id="9"/>
      </w:r>
      <w:r w:rsidR="004918DF" w:rsidRPr="00363BC9">
        <w:rPr>
          <w:rFonts w:eastAsia="Times New Roman"/>
        </w:rPr>
        <w:t xml:space="preserve">  </w:t>
      </w:r>
      <w:r>
        <w:rPr>
          <w:rFonts w:eastAsia="Times New Roman"/>
        </w:rPr>
        <w:t xml:space="preserve">The prior </w:t>
      </w:r>
      <w:r w:rsidR="00204646">
        <w:rPr>
          <w:rFonts w:eastAsia="Times New Roman"/>
        </w:rPr>
        <w:t xml:space="preserve">Rule 506 had permitted issuers to </w:t>
      </w:r>
      <w:r w:rsidR="00204646" w:rsidRPr="00363BC9">
        <w:rPr>
          <w:rFonts w:eastAsia="Times New Roman"/>
        </w:rPr>
        <w:t xml:space="preserve">raise theoretically an unlimited amount of funds from an unlimited number of accredited investors and up to 35 non-accredited investors.  </w:t>
      </w:r>
      <w:r w:rsidR="0062591A">
        <w:rPr>
          <w:rFonts w:eastAsia="Times New Roman"/>
        </w:rPr>
        <w:t xml:space="preserve">Issuers could not, however, advertise their Rule 506 offerings and had to have </w:t>
      </w:r>
      <w:r w:rsidR="0062591A" w:rsidRPr="00363BC9">
        <w:rPr>
          <w:rFonts w:eastAsia="Times New Roman"/>
        </w:rPr>
        <w:t>some pre-existing relationship with potential investors, which constrains their access to capital.</w:t>
      </w:r>
    </w:p>
    <w:p w:rsidR="0062591A" w:rsidRDefault="0062591A" w:rsidP="004918DF">
      <w:pPr>
        <w:overflowPunct w:val="0"/>
        <w:spacing w:line="360" w:lineRule="auto"/>
        <w:ind w:firstLine="720"/>
        <w:textAlignment w:val="baseline"/>
        <w:rPr>
          <w:rFonts w:eastAsia="Times New Roman"/>
        </w:rPr>
      </w:pPr>
      <w:r>
        <w:rPr>
          <w:rFonts w:eastAsia="Times New Roman"/>
        </w:rPr>
        <w:t>The revised Rule 506 permits alternatives.</w:t>
      </w:r>
      <w:r w:rsidR="00C20E8F" w:rsidRPr="00C20E8F">
        <w:rPr>
          <w:rFonts w:eastAsia="Calibri"/>
          <w:szCs w:val="24"/>
          <w:vertAlign w:val="superscript"/>
        </w:rPr>
        <w:footnoteReference w:id="10"/>
      </w:r>
      <w:r>
        <w:rPr>
          <w:rFonts w:eastAsia="Times New Roman"/>
        </w:rPr>
        <w:t xml:space="preserve">  An issuer can use the prior Rule 506 and remain subject to the general solicitation prohibition.  Or the issuer can avoid the prohibition and advertise the offering.  The trade-off is in the confirmation of accredited investor status.  An accredited investor most commonly is a person with $200,000 or more of annual income or $1.0 million or more of net worth.</w:t>
      </w:r>
      <w:r w:rsidR="00DE68E5">
        <w:rPr>
          <w:rStyle w:val="FootnoteReference"/>
          <w:rFonts w:eastAsia="Times New Roman"/>
        </w:rPr>
        <w:footnoteReference w:id="11"/>
      </w:r>
      <w:r>
        <w:rPr>
          <w:rFonts w:eastAsia="Times New Roman"/>
        </w:rPr>
        <w:t xml:space="preserve">  Under the </w:t>
      </w:r>
      <w:r w:rsidR="008F061F">
        <w:rPr>
          <w:rFonts w:eastAsia="Times New Roman"/>
        </w:rPr>
        <w:t xml:space="preserve">prior Rule 506, an issuer could rely upon an investor’s representations.  If an issuer chooses to advertise, the alternative Rule 506 will require that the issuer </w:t>
      </w:r>
      <w:r w:rsidR="008335F7">
        <w:rPr>
          <w:rFonts w:eastAsia="Times New Roman"/>
        </w:rPr>
        <w:t xml:space="preserve">“take reasonable steps to </w:t>
      </w:r>
      <w:r w:rsidR="008F061F">
        <w:rPr>
          <w:rFonts w:eastAsia="Times New Roman"/>
        </w:rPr>
        <w:t>verify</w:t>
      </w:r>
      <w:r w:rsidR="008335F7">
        <w:rPr>
          <w:rFonts w:eastAsia="Times New Roman"/>
        </w:rPr>
        <w:t>”</w:t>
      </w:r>
      <w:r w:rsidR="008F061F">
        <w:rPr>
          <w:rFonts w:eastAsia="Times New Roman"/>
        </w:rPr>
        <w:t xml:space="preserve"> the investor’s income or net worth.  Verification might come from the investor’s tax returns for net income or bank and broker</w:t>
      </w:r>
      <w:r w:rsidR="00C20E8F">
        <w:rPr>
          <w:rFonts w:eastAsia="Times New Roman"/>
        </w:rPr>
        <w:t>age statements for net worth.  An issuer could rely on confirmation by a licensed third party such as a registered broker-dealer, investment advisor, lawyer or CPA.  An issuer may not rely solely on an investor’s representations if the issuer is using advertising or public solicitation.</w:t>
      </w:r>
      <w:r w:rsidR="00330505">
        <w:rPr>
          <w:rStyle w:val="FootnoteReference"/>
          <w:rFonts w:eastAsia="Times New Roman"/>
        </w:rPr>
        <w:footnoteReference w:id="12"/>
      </w:r>
      <w:r w:rsidR="00C20E8F">
        <w:rPr>
          <w:rFonts w:eastAsia="Times New Roman"/>
        </w:rPr>
        <w:t xml:space="preserve">  </w:t>
      </w:r>
    </w:p>
    <w:p w:rsidR="00A13A19" w:rsidRPr="00363BC9" w:rsidRDefault="00C20E8F" w:rsidP="004918DF">
      <w:pPr>
        <w:overflowPunct w:val="0"/>
        <w:spacing w:line="360" w:lineRule="auto"/>
        <w:ind w:firstLine="720"/>
        <w:textAlignment w:val="baseline"/>
        <w:rPr>
          <w:rFonts w:eastAsia="Times New Roman"/>
        </w:rPr>
      </w:pPr>
      <w:r>
        <w:rPr>
          <w:rFonts w:eastAsia="Times New Roman"/>
        </w:rPr>
        <w:lastRenderedPageBreak/>
        <w:t xml:space="preserve">Securities sold under either Rule 506 exemption are not </w:t>
      </w:r>
      <w:r>
        <w:t xml:space="preserve">subject to state registration </w:t>
      </w:r>
      <w:r w:rsidR="00AB547F">
        <w:t xml:space="preserve">or exemption </w:t>
      </w:r>
      <w:r>
        <w:t>rules.</w:t>
      </w:r>
      <w:r>
        <w:rPr>
          <w:rStyle w:val="FootnoteReference"/>
        </w:rPr>
        <w:footnoteReference w:id="13"/>
      </w:r>
      <w:r>
        <w:t xml:space="preserve">  </w:t>
      </w:r>
      <w:r w:rsidR="00A13A19">
        <w:rPr>
          <w:rFonts w:eastAsia="Times New Roman"/>
        </w:rPr>
        <w:t xml:space="preserve">The new </w:t>
      </w:r>
      <w:r w:rsidR="00C379EE">
        <w:rPr>
          <w:rFonts w:eastAsia="Times New Roman"/>
        </w:rPr>
        <w:t xml:space="preserve">Rule 506 changes </w:t>
      </w:r>
      <w:r w:rsidR="00A13A19">
        <w:rPr>
          <w:rFonts w:eastAsia="Times New Roman"/>
        </w:rPr>
        <w:t xml:space="preserve">became effective September 23, 2013. </w:t>
      </w:r>
    </w:p>
    <w:p w:rsidR="007231B3" w:rsidRPr="00363BC9" w:rsidRDefault="004918DF" w:rsidP="00C379EE">
      <w:pPr>
        <w:pStyle w:val="Heading4"/>
        <w:spacing w:before="240"/>
        <w:rPr>
          <w:rFonts w:eastAsia="Times New Roman"/>
        </w:rPr>
      </w:pPr>
      <w:r w:rsidRPr="00363BC9">
        <w:rPr>
          <w:rFonts w:eastAsia="Times New Roman"/>
        </w:rPr>
        <w:t xml:space="preserve">The </w:t>
      </w:r>
      <w:r w:rsidR="007231B3" w:rsidRPr="00363BC9">
        <w:rPr>
          <w:rFonts w:eastAsia="Times New Roman"/>
        </w:rPr>
        <w:t>Crowd</w:t>
      </w:r>
      <w:r w:rsidR="00D35A58" w:rsidRPr="00363BC9">
        <w:rPr>
          <w:rFonts w:eastAsia="Times New Roman"/>
        </w:rPr>
        <w:t>f</w:t>
      </w:r>
      <w:r w:rsidR="007231B3" w:rsidRPr="00363BC9">
        <w:rPr>
          <w:rFonts w:eastAsia="Times New Roman"/>
        </w:rPr>
        <w:t>unding</w:t>
      </w:r>
      <w:r w:rsidR="00A13A19">
        <w:rPr>
          <w:rFonts w:eastAsia="Times New Roman"/>
        </w:rPr>
        <w:t xml:space="preserve"> Exemption</w:t>
      </w:r>
    </w:p>
    <w:p w:rsidR="00BF7BB2" w:rsidRPr="00363BC9" w:rsidRDefault="00D35A58" w:rsidP="00C379EE">
      <w:pPr>
        <w:overflowPunct w:val="0"/>
        <w:spacing w:before="240" w:line="360" w:lineRule="auto"/>
        <w:ind w:firstLine="720"/>
        <w:textAlignment w:val="baseline"/>
        <w:rPr>
          <w:rFonts w:eastAsia="Times New Roman"/>
        </w:rPr>
      </w:pPr>
      <w:r w:rsidRPr="00363BC9">
        <w:rPr>
          <w:rFonts w:eastAsia="Times New Roman"/>
        </w:rPr>
        <w:t>One of the most interesting parts of the JOBS Act was its endorsement of crowdfunding.</w:t>
      </w:r>
      <w:r w:rsidR="001D0722" w:rsidRPr="00363BC9">
        <w:rPr>
          <w:rStyle w:val="FootnoteReference"/>
          <w:rFonts w:eastAsia="Times New Roman"/>
        </w:rPr>
        <w:footnoteReference w:id="14"/>
      </w:r>
      <w:r w:rsidRPr="00363BC9">
        <w:rPr>
          <w:rFonts w:eastAsia="Times New Roman"/>
        </w:rPr>
        <w:t xml:space="preserve">  </w:t>
      </w:r>
      <w:r w:rsidR="00D22357">
        <w:rPr>
          <w:rFonts w:eastAsia="Times New Roman"/>
        </w:rPr>
        <w:t>C</w:t>
      </w:r>
      <w:r w:rsidR="002C2D1E" w:rsidRPr="00363BC9">
        <w:rPr>
          <w:rFonts w:eastAsia="Times New Roman"/>
        </w:rPr>
        <w:t>rowdfunding</w:t>
      </w:r>
      <w:r w:rsidR="00D22357">
        <w:rPr>
          <w:rFonts w:eastAsia="Times New Roman"/>
        </w:rPr>
        <w:t xml:space="preserve"> began as </w:t>
      </w:r>
      <w:r w:rsidR="00976E82" w:rsidRPr="00363BC9">
        <w:rPr>
          <w:rFonts w:eastAsia="Times New Roman"/>
        </w:rPr>
        <w:t>an internet-based networking process that matches people willing to contribute funds to people pursuing a</w:t>
      </w:r>
      <w:r w:rsidR="001D0722" w:rsidRPr="00363BC9">
        <w:rPr>
          <w:rFonts w:eastAsia="Times New Roman"/>
        </w:rPr>
        <w:t xml:space="preserve">n identified project.  </w:t>
      </w:r>
      <w:r w:rsidR="0030552B" w:rsidRPr="00363BC9">
        <w:rPr>
          <w:rFonts w:eastAsia="Times New Roman"/>
        </w:rPr>
        <w:t>The matches typically provide</w:t>
      </w:r>
      <w:r w:rsidR="00D22357">
        <w:rPr>
          <w:rFonts w:eastAsia="Times New Roman"/>
        </w:rPr>
        <w:t>d</w:t>
      </w:r>
      <w:r w:rsidR="0030552B" w:rsidRPr="00363BC9">
        <w:rPr>
          <w:rFonts w:eastAsia="Times New Roman"/>
        </w:rPr>
        <w:t xml:space="preserve"> </w:t>
      </w:r>
      <w:r w:rsidR="00D22357">
        <w:rPr>
          <w:rFonts w:eastAsia="Times New Roman"/>
        </w:rPr>
        <w:t xml:space="preserve">small amounts of </w:t>
      </w:r>
      <w:r w:rsidR="00BF7BB2" w:rsidRPr="00363BC9">
        <w:rPr>
          <w:rFonts w:eastAsia="Times New Roman"/>
        </w:rPr>
        <w:t xml:space="preserve">seed capital for persons who presumably could not access conventional debt or equity funding.  </w:t>
      </w:r>
      <w:r w:rsidR="001D0722" w:rsidRPr="00363BC9">
        <w:rPr>
          <w:rFonts w:eastAsia="Times New Roman"/>
        </w:rPr>
        <w:t xml:space="preserve">Its earliest iterations </w:t>
      </w:r>
      <w:r w:rsidR="00D22357">
        <w:rPr>
          <w:rFonts w:eastAsia="Times New Roman"/>
        </w:rPr>
        <w:t xml:space="preserve">often </w:t>
      </w:r>
      <w:r w:rsidR="001D0722" w:rsidRPr="00363BC9">
        <w:rPr>
          <w:rFonts w:eastAsia="Times New Roman"/>
        </w:rPr>
        <w:t>involved musicians and other artist</w:t>
      </w:r>
      <w:r w:rsidR="00BF7BB2" w:rsidRPr="00363BC9">
        <w:rPr>
          <w:rFonts w:eastAsia="Times New Roman"/>
        </w:rPr>
        <w:t>s</w:t>
      </w:r>
      <w:r w:rsidR="001D0722" w:rsidRPr="00363BC9">
        <w:rPr>
          <w:rFonts w:eastAsia="Times New Roman"/>
        </w:rPr>
        <w:t xml:space="preserve"> who solicited funds from their fans to finance a tour or a recording or </w:t>
      </w:r>
      <w:r w:rsidR="009030B5">
        <w:rPr>
          <w:rFonts w:eastAsia="Times New Roman"/>
        </w:rPr>
        <w:t xml:space="preserve">a </w:t>
      </w:r>
      <w:r w:rsidR="001D0722" w:rsidRPr="00363BC9">
        <w:rPr>
          <w:rFonts w:eastAsia="Times New Roman"/>
        </w:rPr>
        <w:t xml:space="preserve">film.  The concept grew with websites that would aggregate the projects to facilitate matching.  </w:t>
      </w:r>
      <w:r w:rsidR="00D22357" w:rsidRPr="00363BC9">
        <w:rPr>
          <w:rFonts w:eastAsia="Times New Roman"/>
        </w:rPr>
        <w:t xml:space="preserve">Kickstarter </w:t>
      </w:r>
      <w:r w:rsidR="00D22357">
        <w:rPr>
          <w:rFonts w:eastAsia="Times New Roman"/>
        </w:rPr>
        <w:t xml:space="preserve">is the best </w:t>
      </w:r>
      <w:r w:rsidR="001D0722" w:rsidRPr="00363BC9">
        <w:rPr>
          <w:rFonts w:eastAsia="Times New Roman"/>
        </w:rPr>
        <w:t xml:space="preserve">known </w:t>
      </w:r>
      <w:r w:rsidR="00D22357">
        <w:rPr>
          <w:rFonts w:eastAsia="Times New Roman"/>
        </w:rPr>
        <w:t xml:space="preserve">of the </w:t>
      </w:r>
      <w:r w:rsidR="00FF0A33">
        <w:rPr>
          <w:rFonts w:eastAsia="Times New Roman"/>
        </w:rPr>
        <w:t xml:space="preserve">domestic </w:t>
      </w:r>
      <w:r w:rsidR="00D22357">
        <w:rPr>
          <w:rFonts w:eastAsia="Times New Roman"/>
        </w:rPr>
        <w:t xml:space="preserve">crowdfunding </w:t>
      </w:r>
      <w:r w:rsidR="001D0722" w:rsidRPr="00363BC9">
        <w:rPr>
          <w:rFonts w:eastAsia="Times New Roman"/>
        </w:rPr>
        <w:t>websites.</w:t>
      </w:r>
      <w:r w:rsidR="001E2BD3" w:rsidRPr="00363BC9">
        <w:rPr>
          <w:rStyle w:val="FootnoteReference"/>
          <w:rFonts w:eastAsia="Times New Roman"/>
        </w:rPr>
        <w:footnoteReference w:id="15"/>
      </w:r>
      <w:r w:rsidR="001D0722" w:rsidRPr="00363BC9">
        <w:rPr>
          <w:rFonts w:eastAsia="Times New Roman"/>
        </w:rPr>
        <w:t xml:space="preserve"> </w:t>
      </w:r>
    </w:p>
    <w:p w:rsidR="00C408E4" w:rsidRPr="00363BC9" w:rsidRDefault="008333AE" w:rsidP="007231B3">
      <w:pPr>
        <w:overflowPunct w:val="0"/>
        <w:spacing w:line="360" w:lineRule="auto"/>
        <w:ind w:firstLine="720"/>
        <w:textAlignment w:val="baseline"/>
        <w:rPr>
          <w:rFonts w:eastAsia="Times New Roman"/>
        </w:rPr>
      </w:pPr>
      <w:r w:rsidRPr="00363BC9">
        <w:rPr>
          <w:rFonts w:eastAsia="Times New Roman"/>
        </w:rPr>
        <w:t>Many of these crowdfunding projects raised money from hundreds or even thousands of small contributors.</w:t>
      </w:r>
      <w:r w:rsidR="001E7CCC" w:rsidRPr="00363BC9">
        <w:rPr>
          <w:rStyle w:val="FootnoteReference"/>
          <w:rFonts w:eastAsia="Times New Roman"/>
        </w:rPr>
        <w:footnoteReference w:id="16"/>
      </w:r>
      <w:r w:rsidRPr="00363BC9">
        <w:rPr>
          <w:rFonts w:eastAsia="Times New Roman"/>
        </w:rPr>
        <w:t xml:space="preserve">  </w:t>
      </w:r>
      <w:r w:rsidR="006F4B85">
        <w:rPr>
          <w:rFonts w:eastAsia="Times New Roman"/>
        </w:rPr>
        <w:t xml:space="preserve">These contributors generally received </w:t>
      </w:r>
      <w:r w:rsidR="006F4B85" w:rsidRPr="00363BC9">
        <w:rPr>
          <w:rFonts w:eastAsia="Times New Roman"/>
        </w:rPr>
        <w:t>tickets or t-shirts, but no true investment returns</w:t>
      </w:r>
      <w:r w:rsidR="006F4B85">
        <w:rPr>
          <w:rFonts w:eastAsia="Times New Roman"/>
        </w:rPr>
        <w:t>, which w</w:t>
      </w:r>
      <w:r w:rsidR="003A7A6D">
        <w:rPr>
          <w:rFonts w:eastAsia="Times New Roman"/>
        </w:rPr>
        <w:t xml:space="preserve">ould invoke </w:t>
      </w:r>
      <w:r w:rsidR="006F4B85">
        <w:rPr>
          <w:rFonts w:eastAsia="Times New Roman"/>
        </w:rPr>
        <w:t xml:space="preserve">the </w:t>
      </w:r>
      <w:r w:rsidR="00C64042" w:rsidRPr="00363BC9">
        <w:rPr>
          <w:rFonts w:eastAsia="Times New Roman"/>
        </w:rPr>
        <w:t>Federal and state securities laws</w:t>
      </w:r>
      <w:r w:rsidR="003A7A6D">
        <w:rPr>
          <w:rFonts w:eastAsia="Times New Roman"/>
        </w:rPr>
        <w:t xml:space="preserve">.  There was no exemption for these offerings and registration was prohibitively </w:t>
      </w:r>
      <w:r w:rsidR="003A7A6D">
        <w:rPr>
          <w:rFonts w:eastAsia="Times New Roman"/>
        </w:rPr>
        <w:lastRenderedPageBreak/>
        <w:t xml:space="preserve">expensive.  In addition, a website that hosted a securities offering could be charged with acting as an unregistered broker-dealer </w:t>
      </w:r>
      <w:r w:rsidR="00A00813" w:rsidRPr="00363BC9">
        <w:rPr>
          <w:rFonts w:eastAsia="Times New Roman"/>
        </w:rPr>
        <w:t xml:space="preserve">by </w:t>
      </w:r>
      <w:r w:rsidR="005564FE" w:rsidRPr="00363BC9">
        <w:rPr>
          <w:rFonts w:eastAsia="Times New Roman"/>
        </w:rPr>
        <w:t>facilitating the offer and sale of securities.</w:t>
      </w:r>
      <w:r w:rsidR="00784921" w:rsidRPr="00363BC9">
        <w:rPr>
          <w:rStyle w:val="FootnoteReference"/>
          <w:rFonts w:eastAsia="Times New Roman"/>
        </w:rPr>
        <w:footnoteReference w:id="17"/>
      </w:r>
      <w:r w:rsidR="00CF2FDF" w:rsidRPr="00363BC9">
        <w:rPr>
          <w:rFonts w:eastAsia="Times New Roman"/>
        </w:rPr>
        <w:t xml:space="preserve">  </w:t>
      </w:r>
    </w:p>
    <w:p w:rsidR="00F52B65" w:rsidRDefault="00C408E4" w:rsidP="007231B3">
      <w:pPr>
        <w:overflowPunct w:val="0"/>
        <w:spacing w:line="360" w:lineRule="auto"/>
        <w:ind w:firstLine="720"/>
        <w:textAlignment w:val="baseline"/>
        <w:rPr>
          <w:rFonts w:eastAsia="Times New Roman"/>
        </w:rPr>
      </w:pPr>
      <w:r w:rsidRPr="00363BC9">
        <w:rPr>
          <w:rFonts w:eastAsia="Times New Roman"/>
        </w:rPr>
        <w:t>Th</w:t>
      </w:r>
      <w:r w:rsidR="0037010A" w:rsidRPr="00363BC9">
        <w:rPr>
          <w:rFonts w:eastAsia="Times New Roman"/>
        </w:rPr>
        <w:t>e JOBS Act</w:t>
      </w:r>
      <w:r w:rsidR="003A7A6D">
        <w:rPr>
          <w:rFonts w:eastAsia="Times New Roman"/>
        </w:rPr>
        <w:t xml:space="preserve"> unknotted the conundrum</w:t>
      </w:r>
      <w:r w:rsidR="00FC4B35">
        <w:rPr>
          <w:rFonts w:eastAsia="Times New Roman"/>
        </w:rPr>
        <w:t xml:space="preserve"> by exempting crowdfunding offerings providing a regulatory framework for the broker-dealers </w:t>
      </w:r>
      <w:r w:rsidR="0001183A">
        <w:rPr>
          <w:rFonts w:eastAsia="Times New Roman"/>
        </w:rPr>
        <w:t>and</w:t>
      </w:r>
      <w:r w:rsidR="00FC4B35">
        <w:rPr>
          <w:rFonts w:eastAsia="Times New Roman"/>
        </w:rPr>
        <w:t xml:space="preserve"> “funding portals”</w:t>
      </w:r>
      <w:r w:rsidR="0037010A" w:rsidRPr="00363BC9">
        <w:rPr>
          <w:rFonts w:eastAsia="Times New Roman"/>
        </w:rPr>
        <w:t>.</w:t>
      </w:r>
      <w:r w:rsidR="009030B5">
        <w:rPr>
          <w:rStyle w:val="FootnoteReference"/>
          <w:rFonts w:eastAsia="Times New Roman"/>
        </w:rPr>
        <w:footnoteReference w:id="18"/>
      </w:r>
      <w:r w:rsidR="0037010A" w:rsidRPr="00363BC9">
        <w:rPr>
          <w:rFonts w:eastAsia="Times New Roman"/>
        </w:rPr>
        <w:t xml:space="preserve">  The </w:t>
      </w:r>
      <w:r w:rsidR="00FC4B35">
        <w:rPr>
          <w:rFonts w:eastAsia="Times New Roman"/>
        </w:rPr>
        <w:t xml:space="preserve">exemption </w:t>
      </w:r>
      <w:r w:rsidR="0037010A" w:rsidRPr="00363BC9">
        <w:rPr>
          <w:rFonts w:eastAsia="Times New Roman"/>
        </w:rPr>
        <w:t xml:space="preserve">permits </w:t>
      </w:r>
      <w:r w:rsidR="00413634" w:rsidRPr="00363BC9">
        <w:rPr>
          <w:rFonts w:eastAsia="Times New Roman"/>
        </w:rPr>
        <w:t>companie</w:t>
      </w:r>
      <w:r w:rsidR="00AD5163" w:rsidRPr="00363BC9">
        <w:rPr>
          <w:rFonts w:eastAsia="Times New Roman"/>
        </w:rPr>
        <w:t xml:space="preserve">s to raise up to $1.0 million over 12 months.  </w:t>
      </w:r>
      <w:r w:rsidR="00F52B65" w:rsidRPr="00363BC9">
        <w:rPr>
          <w:rFonts w:eastAsia="Times New Roman"/>
        </w:rPr>
        <w:t xml:space="preserve">Investors with a net worth or income of less than $100,000 may invest </w:t>
      </w:r>
      <w:r w:rsidR="00F52B65">
        <w:rPr>
          <w:rFonts w:eastAsia="Times New Roman"/>
        </w:rPr>
        <w:t xml:space="preserve">the greater of </w:t>
      </w:r>
      <w:r w:rsidR="00F52B65" w:rsidRPr="00363BC9">
        <w:rPr>
          <w:rFonts w:eastAsia="Times New Roman"/>
        </w:rPr>
        <w:t xml:space="preserve">$2,000 or 5% of their net worth or income.  </w:t>
      </w:r>
      <w:r w:rsidR="00FC4B35" w:rsidRPr="00363BC9">
        <w:rPr>
          <w:rFonts w:eastAsia="Times New Roman"/>
        </w:rPr>
        <w:t>Investors with a net worth or income of $100,000 or more may invest up to 10% of their net worth or income, subject to a cap of $100,000.  The number of investors is not limited</w:t>
      </w:r>
      <w:r w:rsidR="00FC4B35">
        <w:rPr>
          <w:rFonts w:eastAsia="Times New Roman"/>
        </w:rPr>
        <w:t xml:space="preserve">. </w:t>
      </w:r>
      <w:r w:rsidR="00FC4B35" w:rsidRPr="00363BC9">
        <w:rPr>
          <w:rFonts w:eastAsia="Times New Roman"/>
        </w:rPr>
        <w:t xml:space="preserve"> </w:t>
      </w:r>
      <w:r w:rsidR="00F52B65">
        <w:rPr>
          <w:rFonts w:eastAsia="Times New Roman"/>
        </w:rPr>
        <w:t>Before the offering begins, a</w:t>
      </w:r>
      <w:r w:rsidR="00FC4B35">
        <w:rPr>
          <w:rFonts w:eastAsia="Times New Roman"/>
        </w:rPr>
        <w:t xml:space="preserve">n issuer </w:t>
      </w:r>
      <w:r w:rsidR="00FC4B35" w:rsidRPr="00363BC9">
        <w:rPr>
          <w:rFonts w:eastAsia="Times New Roman"/>
        </w:rPr>
        <w:t>must file a simplified disclosure with the SEC describing its business, the risk factors, and its intended use of funds and providing financial statements</w:t>
      </w:r>
      <w:r w:rsidR="00FC4B35">
        <w:rPr>
          <w:rFonts w:eastAsia="Times New Roman"/>
        </w:rPr>
        <w:t>.  The issuer must also file annual reports while the securities remain outstanding</w:t>
      </w:r>
      <w:r w:rsidR="00FC4B35" w:rsidRPr="00363BC9">
        <w:rPr>
          <w:rFonts w:eastAsia="Times New Roman"/>
        </w:rPr>
        <w:t xml:space="preserve">.  </w:t>
      </w:r>
      <w:r w:rsidR="00FC4B35">
        <w:rPr>
          <w:rFonts w:eastAsia="Times New Roman"/>
        </w:rPr>
        <w:t xml:space="preserve">An issuer may not advertise the offering or pay persons to promote the offering. </w:t>
      </w:r>
    </w:p>
    <w:p w:rsidR="00F52B65" w:rsidRDefault="00AD5163" w:rsidP="00F52B65">
      <w:pPr>
        <w:overflowPunct w:val="0"/>
        <w:spacing w:line="360" w:lineRule="auto"/>
        <w:ind w:firstLine="720"/>
        <w:textAlignment w:val="baseline"/>
        <w:rPr>
          <w:rFonts w:eastAsia="Times New Roman"/>
        </w:rPr>
      </w:pPr>
      <w:r w:rsidRPr="00363BC9">
        <w:rPr>
          <w:rFonts w:eastAsia="Times New Roman"/>
        </w:rPr>
        <w:t xml:space="preserve">The </w:t>
      </w:r>
      <w:r w:rsidR="00726AAD" w:rsidRPr="00363BC9">
        <w:rPr>
          <w:rFonts w:eastAsia="Times New Roman"/>
        </w:rPr>
        <w:t>securities must be sold through an SEC-registered broker</w:t>
      </w:r>
      <w:r w:rsidR="00FC4B35">
        <w:rPr>
          <w:rFonts w:eastAsia="Times New Roman"/>
        </w:rPr>
        <w:t>-dealer</w:t>
      </w:r>
      <w:r w:rsidR="00726AAD" w:rsidRPr="00363BC9">
        <w:rPr>
          <w:rFonts w:eastAsia="Times New Roman"/>
        </w:rPr>
        <w:t xml:space="preserve"> or a registered funding portal.  </w:t>
      </w:r>
      <w:r w:rsidR="00F52B65">
        <w:rPr>
          <w:rFonts w:eastAsia="Times New Roman"/>
        </w:rPr>
        <w:t xml:space="preserve">These intermediaries act </w:t>
      </w:r>
      <w:r w:rsidR="00413634" w:rsidRPr="00363BC9">
        <w:rPr>
          <w:rFonts w:eastAsia="Times New Roman"/>
        </w:rPr>
        <w:t xml:space="preserve">as </w:t>
      </w:r>
      <w:r w:rsidR="008860CE" w:rsidRPr="00363BC9">
        <w:rPr>
          <w:rFonts w:eastAsia="Times New Roman"/>
        </w:rPr>
        <w:t>the gatekeeper</w:t>
      </w:r>
      <w:r w:rsidR="00F52B65">
        <w:rPr>
          <w:rFonts w:eastAsia="Times New Roman"/>
        </w:rPr>
        <w:t>s</w:t>
      </w:r>
      <w:r w:rsidR="008860CE" w:rsidRPr="00363BC9">
        <w:rPr>
          <w:rFonts w:eastAsia="Times New Roman"/>
        </w:rPr>
        <w:t xml:space="preserve"> to guard against abuse.  They ensure that investors </w:t>
      </w:r>
      <w:r w:rsidR="00E47B0F" w:rsidRPr="00363BC9">
        <w:rPr>
          <w:rFonts w:eastAsia="Times New Roman"/>
        </w:rPr>
        <w:t xml:space="preserve">receive the disclosures, </w:t>
      </w:r>
      <w:r w:rsidR="008860CE" w:rsidRPr="00363BC9">
        <w:rPr>
          <w:rFonts w:eastAsia="Times New Roman"/>
        </w:rPr>
        <w:t xml:space="preserve">understand the investment and can bear the </w:t>
      </w:r>
      <w:r w:rsidR="00413634" w:rsidRPr="00363BC9">
        <w:rPr>
          <w:rFonts w:eastAsia="Times New Roman"/>
        </w:rPr>
        <w:t xml:space="preserve">investment </w:t>
      </w:r>
      <w:r w:rsidR="008860CE" w:rsidRPr="00363BC9">
        <w:rPr>
          <w:rFonts w:eastAsia="Times New Roman"/>
        </w:rPr>
        <w:t xml:space="preserve">loss.  They also must conduct background checks on the </w:t>
      </w:r>
      <w:r w:rsidR="00413634" w:rsidRPr="00363BC9">
        <w:rPr>
          <w:rFonts w:eastAsia="Times New Roman"/>
        </w:rPr>
        <w:t>company</w:t>
      </w:r>
      <w:r w:rsidR="008860CE" w:rsidRPr="00363BC9">
        <w:rPr>
          <w:rFonts w:eastAsia="Times New Roman"/>
        </w:rPr>
        <w:t xml:space="preserve">’s owners and management to confirm the absence of regulatory infractions.  </w:t>
      </w:r>
      <w:r w:rsidR="00F52B65">
        <w:rPr>
          <w:rFonts w:eastAsia="Times New Roman"/>
        </w:rPr>
        <w:t xml:space="preserve">The intermediaries may not have a financial interest in any issuer.  The funding portals cannot solicit sales, offer investment advice or make recommendations.  </w:t>
      </w:r>
    </w:p>
    <w:p w:rsidR="008860CE" w:rsidRDefault="00737E20" w:rsidP="00F52B65">
      <w:pPr>
        <w:overflowPunct w:val="0"/>
        <w:spacing w:line="360" w:lineRule="auto"/>
        <w:ind w:firstLine="720"/>
        <w:textAlignment w:val="baseline"/>
        <w:rPr>
          <w:rFonts w:eastAsia="Times New Roman"/>
        </w:rPr>
      </w:pPr>
      <w:r>
        <w:rPr>
          <w:rFonts w:eastAsia="Times New Roman"/>
        </w:rPr>
        <w:t xml:space="preserve">The implementing rules are not yet effective.  The SEC released proposed rules on October 23, 2013.  Financial Industry Regulatory Authority (FINRA), which regulates </w:t>
      </w:r>
      <w:r>
        <w:rPr>
          <w:rFonts w:eastAsia="Times New Roman"/>
        </w:rPr>
        <w:lastRenderedPageBreak/>
        <w:t>U.S. broker-dealers, simultaneously released rules for intermediaries.</w:t>
      </w:r>
      <w:r>
        <w:rPr>
          <w:rStyle w:val="FootnoteReference"/>
          <w:rFonts w:eastAsia="Times New Roman"/>
        </w:rPr>
        <w:footnoteReference w:id="19"/>
      </w:r>
      <w:r>
        <w:rPr>
          <w:rFonts w:eastAsia="Times New Roman"/>
        </w:rPr>
        <w:t xml:space="preserve">  Comments on the crowdfunding rules are due by February</w:t>
      </w:r>
      <w:r w:rsidR="00FF0A33">
        <w:rPr>
          <w:rFonts w:eastAsia="Times New Roman"/>
        </w:rPr>
        <w:t> 3</w:t>
      </w:r>
      <w:r>
        <w:rPr>
          <w:rFonts w:eastAsia="Times New Roman"/>
        </w:rPr>
        <w:t xml:space="preserve">, 2014, and may be effective by </w:t>
      </w:r>
      <w:r w:rsidR="00913BB0">
        <w:rPr>
          <w:rFonts w:eastAsia="Times New Roman"/>
        </w:rPr>
        <w:t xml:space="preserve">the </w:t>
      </w:r>
      <w:r>
        <w:rPr>
          <w:rFonts w:eastAsia="Times New Roman"/>
        </w:rPr>
        <w:t>summer of 2014.</w:t>
      </w:r>
    </w:p>
    <w:p w:rsidR="00C80382" w:rsidRDefault="00997EDF" w:rsidP="007231B3">
      <w:pPr>
        <w:overflowPunct w:val="0"/>
        <w:spacing w:line="360" w:lineRule="auto"/>
        <w:ind w:firstLine="720"/>
        <w:textAlignment w:val="baseline"/>
        <w:rPr>
          <w:rFonts w:eastAsia="Times New Roman"/>
        </w:rPr>
      </w:pPr>
      <w:r w:rsidRPr="00363BC9">
        <w:rPr>
          <w:rFonts w:eastAsia="Times New Roman"/>
        </w:rPr>
        <w:t>C</w:t>
      </w:r>
      <w:r w:rsidR="008860CE" w:rsidRPr="00363BC9">
        <w:rPr>
          <w:rFonts w:eastAsia="Times New Roman"/>
        </w:rPr>
        <w:t>rowdfunding is a</w:t>
      </w:r>
      <w:r w:rsidR="00416903" w:rsidRPr="00363BC9">
        <w:rPr>
          <w:rFonts w:eastAsia="Times New Roman"/>
        </w:rPr>
        <w:t xml:space="preserve">n innovative </w:t>
      </w:r>
      <w:r w:rsidR="008860CE" w:rsidRPr="00363BC9">
        <w:rPr>
          <w:rFonts w:eastAsia="Times New Roman"/>
        </w:rPr>
        <w:t xml:space="preserve">concept.  </w:t>
      </w:r>
      <w:r w:rsidR="00416903" w:rsidRPr="00363BC9">
        <w:rPr>
          <w:rFonts w:eastAsia="Times New Roman"/>
        </w:rPr>
        <w:t>It expands social networking to the capital markets</w:t>
      </w:r>
      <w:r w:rsidR="00E47B0F" w:rsidRPr="00363BC9">
        <w:rPr>
          <w:rFonts w:eastAsia="Times New Roman"/>
        </w:rPr>
        <w:t xml:space="preserve">.  It opens a new avenue for </w:t>
      </w:r>
      <w:r w:rsidR="00416903" w:rsidRPr="00363BC9">
        <w:rPr>
          <w:rFonts w:eastAsia="Times New Roman"/>
        </w:rPr>
        <w:t xml:space="preserve">small businesses </w:t>
      </w:r>
      <w:r w:rsidR="00E47B0F" w:rsidRPr="00363BC9">
        <w:rPr>
          <w:rFonts w:eastAsia="Times New Roman"/>
        </w:rPr>
        <w:t xml:space="preserve">to </w:t>
      </w:r>
      <w:r w:rsidR="00416903" w:rsidRPr="00363BC9">
        <w:rPr>
          <w:rFonts w:eastAsia="Times New Roman"/>
        </w:rPr>
        <w:t>access start-up capital</w:t>
      </w:r>
      <w:r w:rsidR="0089492C" w:rsidRPr="00363BC9">
        <w:rPr>
          <w:rFonts w:eastAsia="Times New Roman"/>
        </w:rPr>
        <w:t xml:space="preserve"> from a broad pool of potential investors</w:t>
      </w:r>
      <w:r w:rsidR="00737E20">
        <w:rPr>
          <w:rFonts w:eastAsia="Times New Roman"/>
        </w:rPr>
        <w:t xml:space="preserve"> instead of the exclusive pools of financial angel investors and ventures capitalists</w:t>
      </w:r>
      <w:r w:rsidR="00416903" w:rsidRPr="00363BC9">
        <w:rPr>
          <w:rFonts w:eastAsia="Times New Roman"/>
        </w:rPr>
        <w:t xml:space="preserve">.  </w:t>
      </w:r>
      <w:r w:rsidR="00913BB0">
        <w:rPr>
          <w:rFonts w:eastAsia="Times New Roman"/>
        </w:rPr>
        <w:t xml:space="preserve">Can </w:t>
      </w:r>
      <w:r w:rsidR="00E47B0F" w:rsidRPr="00363BC9">
        <w:rPr>
          <w:rFonts w:eastAsia="Times New Roman"/>
        </w:rPr>
        <w:t>crowdfunding live to its potential</w:t>
      </w:r>
      <w:r w:rsidR="00913BB0">
        <w:rPr>
          <w:rFonts w:eastAsia="Times New Roman"/>
        </w:rPr>
        <w:t>?</w:t>
      </w:r>
      <w:r w:rsidR="00E47B0F" w:rsidRPr="00363BC9">
        <w:rPr>
          <w:rFonts w:eastAsia="Times New Roman"/>
        </w:rPr>
        <w:t xml:space="preserve">  </w:t>
      </w:r>
      <w:r w:rsidR="00C80382" w:rsidRPr="00363BC9">
        <w:rPr>
          <w:rFonts w:eastAsia="Times New Roman"/>
        </w:rPr>
        <w:t xml:space="preserve">The gatekeeper function imposes much more responsibility than </w:t>
      </w:r>
      <w:r w:rsidR="00042D4A" w:rsidRPr="00363BC9">
        <w:rPr>
          <w:rFonts w:eastAsia="Times New Roman"/>
        </w:rPr>
        <w:t xml:space="preserve">websites bear under </w:t>
      </w:r>
      <w:r w:rsidR="00C80382" w:rsidRPr="00363BC9">
        <w:rPr>
          <w:rFonts w:eastAsia="Times New Roman"/>
        </w:rPr>
        <w:t xml:space="preserve">the current Kickstarter model, </w:t>
      </w:r>
      <w:r w:rsidR="00737E20">
        <w:rPr>
          <w:rFonts w:eastAsia="Times New Roman"/>
        </w:rPr>
        <w:t xml:space="preserve">which has no governmental registration and </w:t>
      </w:r>
      <w:r w:rsidR="00C80382" w:rsidRPr="00363BC9">
        <w:rPr>
          <w:rFonts w:eastAsia="Times New Roman"/>
        </w:rPr>
        <w:t>do</w:t>
      </w:r>
      <w:r w:rsidR="0052089C">
        <w:rPr>
          <w:rFonts w:eastAsia="Times New Roman"/>
        </w:rPr>
        <w:t>es</w:t>
      </w:r>
      <w:r w:rsidR="00C80382" w:rsidRPr="00363BC9">
        <w:rPr>
          <w:rFonts w:eastAsia="Times New Roman"/>
        </w:rPr>
        <w:t xml:space="preserve"> not deal with disclosures or investor suitability.  </w:t>
      </w:r>
      <w:r w:rsidR="00737E20">
        <w:rPr>
          <w:rFonts w:eastAsia="Times New Roman"/>
        </w:rPr>
        <w:t>The gatekeeper functions will impose significant costs.  Issuers will incur significant costs too, both in preparing the initial disclosures and in maintaining the disclosures through the annual reports.  Whether offerings capped at $1.0 million will support these costs remain to be seen.</w:t>
      </w:r>
      <w:r w:rsidR="00831F73">
        <w:rPr>
          <w:rStyle w:val="FootnoteReference"/>
          <w:rFonts w:eastAsia="Times New Roman"/>
        </w:rPr>
        <w:footnoteReference w:id="20"/>
      </w:r>
      <w:r w:rsidR="00737E20">
        <w:rPr>
          <w:rFonts w:eastAsia="Times New Roman"/>
        </w:rPr>
        <w:t xml:space="preserve"> </w:t>
      </w:r>
    </w:p>
    <w:p w:rsidR="00643BF0" w:rsidRPr="00363BC9" w:rsidRDefault="00643BF0" w:rsidP="00643BF0">
      <w:pPr>
        <w:pStyle w:val="Heading4"/>
        <w:spacing w:before="240"/>
        <w:rPr>
          <w:rFonts w:eastAsia="Times New Roman"/>
        </w:rPr>
      </w:pPr>
      <w:r>
        <w:rPr>
          <w:rFonts w:eastAsia="Times New Roman"/>
        </w:rPr>
        <w:t>Delaware Developments</w:t>
      </w:r>
    </w:p>
    <w:p w:rsidR="00643BF0" w:rsidRPr="00643BF0" w:rsidRDefault="006A1659" w:rsidP="00C7727B">
      <w:pPr>
        <w:overflowPunct w:val="0"/>
        <w:spacing w:line="360" w:lineRule="auto"/>
        <w:ind w:firstLine="720"/>
        <w:textAlignment w:val="baseline"/>
        <w:rPr>
          <w:rFonts w:eastAsia="Times New Roman"/>
        </w:rPr>
      </w:pPr>
      <w:r>
        <w:rPr>
          <w:rFonts w:eastAsia="Times New Roman"/>
        </w:rPr>
        <w:t xml:space="preserve">Delaware’s preeminent position in corporate law and our use of the Delaware General Corporation Law as the model for our Oklahoma General Corporation Act </w:t>
      </w:r>
      <w:r w:rsidR="008053CE">
        <w:rPr>
          <w:rFonts w:eastAsia="Times New Roman"/>
        </w:rPr>
        <w:t xml:space="preserve">invite our review of </w:t>
      </w:r>
      <w:r>
        <w:rPr>
          <w:rFonts w:eastAsia="Times New Roman"/>
        </w:rPr>
        <w:t>Delaware developments.</w:t>
      </w:r>
      <w:r w:rsidR="0052089C" w:rsidRPr="003E3B7F">
        <w:rPr>
          <w:rFonts w:eastAsia="Times New Roman"/>
          <w:sz w:val="20"/>
          <w:vertAlign w:val="superscript"/>
        </w:rPr>
        <w:footnoteReference w:id="21"/>
      </w:r>
      <w:r w:rsidR="0052089C" w:rsidRPr="003E3B7F">
        <w:rPr>
          <w:rFonts w:eastAsia="Times New Roman"/>
        </w:rPr>
        <w:t xml:space="preserve"> </w:t>
      </w:r>
      <w:r>
        <w:rPr>
          <w:rFonts w:eastAsia="Times New Roman"/>
        </w:rPr>
        <w:t xml:space="preserve">  These developments often presage changes in Oklahoma law. </w:t>
      </w:r>
    </w:p>
    <w:p w:rsidR="009C31F7" w:rsidRDefault="00E20644" w:rsidP="00E20644">
      <w:pPr>
        <w:overflowPunct w:val="0"/>
        <w:spacing w:line="360" w:lineRule="auto"/>
        <w:ind w:firstLine="720"/>
        <w:textAlignment w:val="baseline"/>
        <w:rPr>
          <w:szCs w:val="24"/>
        </w:rPr>
      </w:pPr>
      <w:r>
        <w:rPr>
          <w:rFonts w:eastAsia="Times New Roman"/>
          <w:i/>
        </w:rPr>
        <w:lastRenderedPageBreak/>
        <w:t>Fiduciary Duties in LLCs</w:t>
      </w:r>
      <w:r w:rsidRPr="00C26816">
        <w:rPr>
          <w:rFonts w:eastAsia="Times New Roman"/>
        </w:rPr>
        <w:t xml:space="preserve">.  </w:t>
      </w:r>
      <w:r w:rsidR="00A14A48">
        <w:rPr>
          <w:rFonts w:eastAsia="Times New Roman"/>
        </w:rPr>
        <w:t xml:space="preserve">An interesting debate has been ongoing in Delaware about the </w:t>
      </w:r>
      <w:r w:rsidR="009C31F7">
        <w:rPr>
          <w:rFonts w:eastAsia="Times New Roman"/>
        </w:rPr>
        <w:t xml:space="preserve">default </w:t>
      </w:r>
      <w:r w:rsidR="00A14A48">
        <w:rPr>
          <w:rFonts w:eastAsia="Times New Roman"/>
        </w:rPr>
        <w:t xml:space="preserve">duties owed by LLC managers if the duties were not specified in the operating agreement.  The debate was between </w:t>
      </w:r>
      <w:r w:rsidR="00C26816">
        <w:rPr>
          <w:szCs w:val="24"/>
        </w:rPr>
        <w:t xml:space="preserve">the Chancery Court and </w:t>
      </w:r>
      <w:r w:rsidR="00A14A48">
        <w:rPr>
          <w:szCs w:val="24"/>
        </w:rPr>
        <w:t xml:space="preserve">the Chief Justice of the </w:t>
      </w:r>
      <w:r w:rsidR="00C26816">
        <w:rPr>
          <w:szCs w:val="24"/>
        </w:rPr>
        <w:t xml:space="preserve">Supreme Court.  </w:t>
      </w:r>
      <w:r w:rsidR="0047187B">
        <w:rPr>
          <w:szCs w:val="24"/>
        </w:rPr>
        <w:t xml:space="preserve">Seven </w:t>
      </w:r>
      <w:r w:rsidR="00C26816">
        <w:rPr>
          <w:szCs w:val="24"/>
        </w:rPr>
        <w:t xml:space="preserve">Chancery Court decisions </w:t>
      </w:r>
      <w:r w:rsidR="0047187B">
        <w:rPr>
          <w:szCs w:val="24"/>
        </w:rPr>
        <w:t xml:space="preserve">authored by five Chancellors or Vice Chancellors </w:t>
      </w:r>
      <w:r w:rsidR="00C26816">
        <w:rPr>
          <w:szCs w:val="24"/>
        </w:rPr>
        <w:t>ha</w:t>
      </w:r>
      <w:r w:rsidR="004076BF">
        <w:rPr>
          <w:szCs w:val="24"/>
        </w:rPr>
        <w:t>ve</w:t>
      </w:r>
      <w:r w:rsidR="00C26816">
        <w:rPr>
          <w:szCs w:val="24"/>
        </w:rPr>
        <w:t xml:space="preserve"> held that managers owed the same fiduciary duties as corporate directors</w:t>
      </w:r>
      <w:r w:rsidR="00A14A48">
        <w:rPr>
          <w:szCs w:val="24"/>
        </w:rPr>
        <w:t xml:space="preserve"> and </w:t>
      </w:r>
      <w:r w:rsidR="00C26816">
        <w:rPr>
          <w:szCs w:val="24"/>
        </w:rPr>
        <w:t xml:space="preserve">officers if the </w:t>
      </w:r>
      <w:r w:rsidR="00A14A48">
        <w:rPr>
          <w:szCs w:val="24"/>
        </w:rPr>
        <w:t>operating agreement</w:t>
      </w:r>
      <w:r w:rsidR="00C26816">
        <w:rPr>
          <w:szCs w:val="24"/>
        </w:rPr>
        <w:t xml:space="preserve"> d</w:t>
      </w:r>
      <w:r w:rsidR="009C31F7">
        <w:rPr>
          <w:szCs w:val="24"/>
        </w:rPr>
        <w:t xml:space="preserve">oes </w:t>
      </w:r>
      <w:r w:rsidR="00C26816">
        <w:rPr>
          <w:szCs w:val="24"/>
        </w:rPr>
        <w:t xml:space="preserve">not </w:t>
      </w:r>
      <w:r w:rsidR="009C31F7">
        <w:rPr>
          <w:szCs w:val="24"/>
        </w:rPr>
        <w:t xml:space="preserve">expressly alter </w:t>
      </w:r>
      <w:r w:rsidR="00C26816">
        <w:rPr>
          <w:szCs w:val="24"/>
        </w:rPr>
        <w:t>the duties.</w:t>
      </w:r>
      <w:r w:rsidR="00EF008B">
        <w:rPr>
          <w:rStyle w:val="FootnoteReference"/>
          <w:szCs w:val="24"/>
        </w:rPr>
        <w:footnoteReference w:id="22"/>
      </w:r>
      <w:r w:rsidR="00C26816">
        <w:rPr>
          <w:szCs w:val="24"/>
        </w:rPr>
        <w:t xml:space="preserve">  Chief Justice Steele disagreed</w:t>
      </w:r>
      <w:r w:rsidR="00EF008B">
        <w:rPr>
          <w:szCs w:val="24"/>
        </w:rPr>
        <w:t>.  He wrote a prominent article</w:t>
      </w:r>
      <w:r w:rsidR="00C26816">
        <w:rPr>
          <w:szCs w:val="24"/>
        </w:rPr>
        <w:t xml:space="preserve"> </w:t>
      </w:r>
      <w:r w:rsidR="00EF008B">
        <w:rPr>
          <w:szCs w:val="24"/>
        </w:rPr>
        <w:t xml:space="preserve">arguing </w:t>
      </w:r>
      <w:r w:rsidR="001C66AD">
        <w:rPr>
          <w:szCs w:val="24"/>
        </w:rPr>
        <w:t xml:space="preserve">that </w:t>
      </w:r>
      <w:r w:rsidR="001C66AD">
        <w:t>LLCs are creatures of contract and</w:t>
      </w:r>
      <w:r w:rsidR="00846FDD">
        <w:t>,</w:t>
      </w:r>
      <w:r w:rsidR="001C66AD">
        <w:t xml:space="preserve"> if the contract (the operating agreement) is silent, the managers owe no fiduciary duties, but are obligated </w:t>
      </w:r>
      <w:r w:rsidR="00863A81">
        <w:t xml:space="preserve">only </w:t>
      </w:r>
      <w:r w:rsidR="001C66AD">
        <w:t>under the implied contractual covenant of good faith and fair dealing.</w:t>
      </w:r>
      <w:r w:rsidR="001C66AD">
        <w:rPr>
          <w:rStyle w:val="FootnoteReference"/>
          <w:szCs w:val="24"/>
        </w:rPr>
        <w:footnoteReference w:id="23"/>
      </w:r>
      <w:r w:rsidR="001C66AD">
        <w:t xml:space="preserve">  In </w:t>
      </w:r>
      <w:r w:rsidR="00EF008B">
        <w:rPr>
          <w:szCs w:val="24"/>
        </w:rPr>
        <w:t>a recent case</w:t>
      </w:r>
      <w:r w:rsidR="001C66AD">
        <w:rPr>
          <w:szCs w:val="24"/>
        </w:rPr>
        <w:t>, he</w:t>
      </w:r>
      <w:r w:rsidR="00EF008B">
        <w:rPr>
          <w:szCs w:val="24"/>
        </w:rPr>
        <w:t xml:space="preserve"> </w:t>
      </w:r>
      <w:r w:rsidR="00C26816">
        <w:rPr>
          <w:szCs w:val="24"/>
        </w:rPr>
        <w:t xml:space="preserve">admonished the Chancery Court for </w:t>
      </w:r>
      <w:r w:rsidR="00483DEA">
        <w:rPr>
          <w:szCs w:val="24"/>
        </w:rPr>
        <w:t xml:space="preserve">discussing default fiduciary duties when the </w:t>
      </w:r>
      <w:r w:rsidR="00C26816">
        <w:rPr>
          <w:szCs w:val="24"/>
        </w:rPr>
        <w:t xml:space="preserve">issue </w:t>
      </w:r>
      <w:r w:rsidR="00483DEA">
        <w:rPr>
          <w:szCs w:val="24"/>
        </w:rPr>
        <w:t xml:space="preserve">was </w:t>
      </w:r>
      <w:r w:rsidR="00C26816">
        <w:rPr>
          <w:szCs w:val="24"/>
        </w:rPr>
        <w:t>not before it.</w:t>
      </w:r>
      <w:r w:rsidR="0047187B">
        <w:rPr>
          <w:rStyle w:val="FootnoteReference"/>
          <w:szCs w:val="24"/>
        </w:rPr>
        <w:footnoteReference w:id="24"/>
      </w:r>
      <w:r w:rsidR="00C26816">
        <w:rPr>
          <w:szCs w:val="24"/>
        </w:rPr>
        <w:t xml:space="preserve">  </w:t>
      </w:r>
    </w:p>
    <w:p w:rsidR="00E20644" w:rsidRDefault="00483DEA" w:rsidP="00E20644">
      <w:pPr>
        <w:overflowPunct w:val="0"/>
        <w:spacing w:line="360" w:lineRule="auto"/>
        <w:ind w:firstLine="720"/>
        <w:textAlignment w:val="baseline"/>
        <w:rPr>
          <w:szCs w:val="24"/>
        </w:rPr>
      </w:pPr>
      <w:r>
        <w:rPr>
          <w:szCs w:val="24"/>
        </w:rPr>
        <w:t>T</w:t>
      </w:r>
      <w:r w:rsidR="00C26816">
        <w:rPr>
          <w:szCs w:val="24"/>
        </w:rPr>
        <w:t xml:space="preserve">he </w:t>
      </w:r>
      <w:r w:rsidR="00A31020">
        <w:rPr>
          <w:szCs w:val="24"/>
        </w:rPr>
        <w:t xml:space="preserve">Delaware </w:t>
      </w:r>
      <w:r w:rsidR="00C26816">
        <w:rPr>
          <w:szCs w:val="24"/>
        </w:rPr>
        <w:t xml:space="preserve">legislature stepped in to resolve the </w:t>
      </w:r>
      <w:r>
        <w:rPr>
          <w:szCs w:val="24"/>
        </w:rPr>
        <w:t xml:space="preserve">judicial </w:t>
      </w:r>
      <w:r w:rsidR="00C26816">
        <w:rPr>
          <w:szCs w:val="24"/>
        </w:rPr>
        <w:t>dispute by amending</w:t>
      </w:r>
      <w:r w:rsidR="00A31020">
        <w:rPr>
          <w:szCs w:val="24"/>
        </w:rPr>
        <w:t xml:space="preserve"> the LLC Act to provide that the “rules of law and equity relating to fiduciary duties” apply to LLCs.</w:t>
      </w:r>
      <w:r w:rsidR="00A31020">
        <w:rPr>
          <w:rStyle w:val="FootnoteReference"/>
          <w:szCs w:val="24"/>
        </w:rPr>
        <w:footnoteReference w:id="25"/>
      </w:r>
      <w:r w:rsidR="00A31020">
        <w:rPr>
          <w:szCs w:val="24"/>
        </w:rPr>
        <w:t xml:space="preserve">  </w:t>
      </w:r>
      <w:r w:rsidR="00C26816">
        <w:rPr>
          <w:szCs w:val="24"/>
        </w:rPr>
        <w:t>With this change, the Delaware legislature ensure</w:t>
      </w:r>
      <w:r w:rsidR="00846FDD">
        <w:rPr>
          <w:szCs w:val="24"/>
        </w:rPr>
        <w:t>s</w:t>
      </w:r>
      <w:r w:rsidR="00C26816">
        <w:rPr>
          <w:szCs w:val="24"/>
        </w:rPr>
        <w:t xml:space="preserve"> that fiduciary duties w</w:t>
      </w:r>
      <w:r w:rsidR="00846FDD">
        <w:rPr>
          <w:szCs w:val="24"/>
        </w:rPr>
        <w:t>ill</w:t>
      </w:r>
      <w:r w:rsidR="00C26816">
        <w:rPr>
          <w:szCs w:val="24"/>
        </w:rPr>
        <w:t xml:space="preserve"> apply by default to LLC managers if the duties were not set forth in the </w:t>
      </w:r>
      <w:r>
        <w:rPr>
          <w:szCs w:val="24"/>
        </w:rPr>
        <w:t>o</w:t>
      </w:r>
      <w:r w:rsidR="00A14A48">
        <w:rPr>
          <w:szCs w:val="24"/>
        </w:rPr>
        <w:t>perating agreement</w:t>
      </w:r>
      <w:r w:rsidR="00C26816">
        <w:rPr>
          <w:szCs w:val="24"/>
        </w:rPr>
        <w:t xml:space="preserve">.  </w:t>
      </w:r>
    </w:p>
    <w:p w:rsidR="00C26816" w:rsidRDefault="00846FDD" w:rsidP="00E20644">
      <w:pPr>
        <w:overflowPunct w:val="0"/>
        <w:spacing w:line="360" w:lineRule="auto"/>
        <w:ind w:firstLine="720"/>
        <w:textAlignment w:val="baseline"/>
        <w:rPr>
          <w:rFonts w:eastAsia="Times New Roman"/>
        </w:rPr>
      </w:pPr>
      <w:r>
        <w:rPr>
          <w:szCs w:val="24"/>
        </w:rPr>
        <w:t xml:space="preserve">The </w:t>
      </w:r>
      <w:r w:rsidR="00C26816">
        <w:rPr>
          <w:szCs w:val="24"/>
        </w:rPr>
        <w:t xml:space="preserve">Oklahoma courts </w:t>
      </w:r>
      <w:r>
        <w:rPr>
          <w:szCs w:val="24"/>
        </w:rPr>
        <w:t xml:space="preserve">have not addressed the </w:t>
      </w:r>
      <w:r w:rsidR="001617BF">
        <w:rPr>
          <w:szCs w:val="24"/>
        </w:rPr>
        <w:t xml:space="preserve">issue of whether </w:t>
      </w:r>
      <w:r w:rsidR="00C26816">
        <w:rPr>
          <w:szCs w:val="24"/>
        </w:rPr>
        <w:t xml:space="preserve">LLC managers </w:t>
      </w:r>
      <w:r w:rsidR="001617BF">
        <w:rPr>
          <w:szCs w:val="24"/>
        </w:rPr>
        <w:t>owe fiduciary duties by default</w:t>
      </w:r>
      <w:r w:rsidR="00C26816">
        <w:rPr>
          <w:szCs w:val="24"/>
        </w:rPr>
        <w:t>.</w:t>
      </w:r>
      <w:r w:rsidR="001617BF">
        <w:rPr>
          <w:szCs w:val="24"/>
        </w:rPr>
        <w:t xml:space="preserve">  </w:t>
      </w:r>
      <w:r w:rsidR="001617BF">
        <w:t xml:space="preserve">A venerable line of Oklahoma cases apply fiduciary duties to </w:t>
      </w:r>
      <w:r w:rsidR="001617BF">
        <w:lastRenderedPageBreak/>
        <w:t>corporate directors and officers,</w:t>
      </w:r>
      <w:r w:rsidR="001617BF">
        <w:rPr>
          <w:rStyle w:val="FootnoteReference"/>
          <w:szCs w:val="24"/>
        </w:rPr>
        <w:footnoteReference w:id="26"/>
      </w:r>
      <w:r w:rsidR="001617BF">
        <w:t xml:space="preserve"> and there is no support in Oklahoma case law for Chief Justice Steele’s contractarian theory.  </w:t>
      </w:r>
      <w:r w:rsidR="00C26816">
        <w:rPr>
          <w:szCs w:val="24"/>
        </w:rPr>
        <w:t xml:space="preserve">But </w:t>
      </w:r>
      <w:r w:rsidR="001617BF">
        <w:rPr>
          <w:szCs w:val="24"/>
        </w:rPr>
        <w:t xml:space="preserve">the </w:t>
      </w:r>
      <w:r w:rsidR="00CA1EB6">
        <w:rPr>
          <w:szCs w:val="24"/>
        </w:rPr>
        <w:t xml:space="preserve">amended Delaware statute was identical to the Oklahoma </w:t>
      </w:r>
      <w:r w:rsidR="001617BF">
        <w:rPr>
          <w:szCs w:val="24"/>
        </w:rPr>
        <w:t xml:space="preserve">statute </w:t>
      </w:r>
      <w:r w:rsidR="00CA1EB6">
        <w:rPr>
          <w:szCs w:val="24"/>
        </w:rPr>
        <w:t>before the former’s amendment</w:t>
      </w:r>
      <w:r w:rsidR="001617BF">
        <w:rPr>
          <w:szCs w:val="24"/>
        </w:rPr>
        <w:t xml:space="preserve">, which could permit </w:t>
      </w:r>
      <w:r w:rsidR="00C26816">
        <w:rPr>
          <w:szCs w:val="24"/>
        </w:rPr>
        <w:t xml:space="preserve">a litigant </w:t>
      </w:r>
      <w:r w:rsidR="001617BF">
        <w:rPr>
          <w:szCs w:val="24"/>
        </w:rPr>
        <w:t xml:space="preserve">to </w:t>
      </w:r>
      <w:r w:rsidR="00C26816">
        <w:rPr>
          <w:szCs w:val="24"/>
        </w:rPr>
        <w:t xml:space="preserve">argue </w:t>
      </w:r>
      <w:r w:rsidR="001617BF">
        <w:rPr>
          <w:szCs w:val="24"/>
        </w:rPr>
        <w:t>the absence of default fiduciary duties</w:t>
      </w:r>
      <w:r w:rsidR="00CA1EB6">
        <w:rPr>
          <w:szCs w:val="24"/>
        </w:rPr>
        <w:t xml:space="preserve"> in Oklahoma LLCs.</w:t>
      </w:r>
      <w:r w:rsidR="00CA1EB6">
        <w:rPr>
          <w:rStyle w:val="FootnoteReference"/>
          <w:szCs w:val="24"/>
        </w:rPr>
        <w:footnoteReference w:id="27"/>
      </w:r>
      <w:r w:rsidR="00CA1EB6">
        <w:rPr>
          <w:szCs w:val="24"/>
        </w:rPr>
        <w:t xml:space="preserve">  </w:t>
      </w:r>
      <w:r w:rsidR="007A3739">
        <w:rPr>
          <w:szCs w:val="24"/>
        </w:rPr>
        <w:t xml:space="preserve">A similar amendment to the Oklahoma LLC Act would resolve any doubt and ensure the presence of default fiduciary duties.  </w:t>
      </w:r>
    </w:p>
    <w:p w:rsidR="00E3774E" w:rsidRDefault="00643BF0" w:rsidP="00C7727B">
      <w:pPr>
        <w:overflowPunct w:val="0"/>
        <w:spacing w:line="360" w:lineRule="auto"/>
        <w:ind w:firstLine="720"/>
        <w:textAlignment w:val="baseline"/>
        <w:rPr>
          <w:rFonts w:eastAsia="Times New Roman"/>
        </w:rPr>
      </w:pPr>
      <w:r>
        <w:rPr>
          <w:rFonts w:eastAsia="Times New Roman"/>
          <w:i/>
        </w:rPr>
        <w:t>The Business Judgment Rule in Controlling Shareholder Transactions</w:t>
      </w:r>
      <w:r w:rsidRPr="00E20644">
        <w:rPr>
          <w:rFonts w:eastAsia="Times New Roman"/>
        </w:rPr>
        <w:t xml:space="preserve">.  </w:t>
      </w:r>
      <w:r w:rsidR="00D06AD4">
        <w:rPr>
          <w:rFonts w:eastAsia="Times New Roman"/>
        </w:rPr>
        <w:t xml:space="preserve">In </w:t>
      </w:r>
      <w:r w:rsidR="004076BF">
        <w:rPr>
          <w:rFonts w:eastAsia="Times New Roman"/>
        </w:rPr>
        <w:t xml:space="preserve">a </w:t>
      </w:r>
      <w:r w:rsidR="00D06AD4">
        <w:rPr>
          <w:rFonts w:eastAsia="Times New Roman"/>
        </w:rPr>
        <w:t>business combination between third parties, the board</w:t>
      </w:r>
      <w:r w:rsidR="004076BF">
        <w:rPr>
          <w:rFonts w:eastAsia="Times New Roman"/>
        </w:rPr>
        <w:t>’</w:t>
      </w:r>
      <w:r w:rsidR="00D06AD4">
        <w:rPr>
          <w:rFonts w:eastAsia="Times New Roman"/>
        </w:rPr>
        <w:t>s decisions are reviewed under the business judgment rule.</w:t>
      </w:r>
      <w:r w:rsidR="00D06AD4">
        <w:rPr>
          <w:rStyle w:val="FootnoteReference"/>
          <w:rFonts w:eastAsia="Times New Roman"/>
        </w:rPr>
        <w:footnoteReference w:id="28"/>
      </w:r>
      <w:r w:rsidR="00D06AD4">
        <w:rPr>
          <w:rFonts w:eastAsia="Times New Roman"/>
        </w:rPr>
        <w:t xml:space="preserve">  </w:t>
      </w:r>
      <w:r w:rsidR="00E3774E">
        <w:rPr>
          <w:rFonts w:eastAsia="Times New Roman"/>
        </w:rPr>
        <w:t>I</w:t>
      </w:r>
      <w:r w:rsidR="00D06AD4">
        <w:rPr>
          <w:rFonts w:eastAsia="Times New Roman"/>
        </w:rPr>
        <w:t>f</w:t>
      </w:r>
      <w:r w:rsidR="00E3774E">
        <w:rPr>
          <w:rFonts w:eastAsia="Times New Roman"/>
        </w:rPr>
        <w:t xml:space="preserve"> </w:t>
      </w:r>
      <w:r w:rsidR="004076BF">
        <w:rPr>
          <w:rFonts w:eastAsia="Times New Roman"/>
        </w:rPr>
        <w:t xml:space="preserve">a </w:t>
      </w:r>
      <w:r w:rsidR="00E3774E">
        <w:rPr>
          <w:rFonts w:eastAsia="Times New Roman"/>
        </w:rPr>
        <w:t>business combination involv</w:t>
      </w:r>
      <w:r w:rsidR="00D06AD4">
        <w:rPr>
          <w:rFonts w:eastAsia="Times New Roman"/>
        </w:rPr>
        <w:t>es</w:t>
      </w:r>
      <w:r w:rsidR="00E3774E">
        <w:rPr>
          <w:rFonts w:eastAsia="Times New Roman"/>
        </w:rPr>
        <w:t xml:space="preserve"> </w:t>
      </w:r>
      <w:r w:rsidR="00D06AD4">
        <w:rPr>
          <w:rFonts w:eastAsia="Times New Roman"/>
        </w:rPr>
        <w:t xml:space="preserve">a </w:t>
      </w:r>
      <w:r w:rsidR="00E3774E">
        <w:rPr>
          <w:rFonts w:eastAsia="Times New Roman"/>
        </w:rPr>
        <w:t xml:space="preserve">controlling shareholder, </w:t>
      </w:r>
      <w:r w:rsidR="00D06AD4">
        <w:rPr>
          <w:rFonts w:eastAsia="Times New Roman"/>
        </w:rPr>
        <w:t xml:space="preserve">however, </w:t>
      </w:r>
      <w:r w:rsidR="00E3774E">
        <w:rPr>
          <w:rFonts w:eastAsia="Times New Roman"/>
        </w:rPr>
        <w:t xml:space="preserve">the decisions are subject to </w:t>
      </w:r>
      <w:r w:rsidR="004076BF">
        <w:rPr>
          <w:rFonts w:eastAsia="Times New Roman"/>
        </w:rPr>
        <w:t xml:space="preserve">the </w:t>
      </w:r>
      <w:r w:rsidR="00E3774E">
        <w:rPr>
          <w:rFonts w:eastAsia="Times New Roman"/>
        </w:rPr>
        <w:t>entire fairness test, which is more stringent than the business judgment rule.</w:t>
      </w:r>
      <w:r w:rsidR="008724EC">
        <w:rPr>
          <w:rStyle w:val="FootnoteReference"/>
          <w:rFonts w:eastAsia="Times New Roman"/>
        </w:rPr>
        <w:footnoteReference w:id="29"/>
      </w:r>
      <w:r w:rsidR="00E3774E">
        <w:rPr>
          <w:rFonts w:eastAsia="Times New Roman"/>
        </w:rPr>
        <w:t xml:space="preserve">  The board must show that its decisions are fair to all shareholders (including the minority) both as to price and procedure.  To meet this test, the board often appoint</w:t>
      </w:r>
      <w:r w:rsidR="004076BF">
        <w:rPr>
          <w:rFonts w:eastAsia="Times New Roman"/>
        </w:rPr>
        <w:t>s</w:t>
      </w:r>
      <w:r w:rsidR="00E3774E">
        <w:rPr>
          <w:rFonts w:eastAsia="Times New Roman"/>
        </w:rPr>
        <w:t xml:space="preserve"> a special committee compose</w:t>
      </w:r>
      <w:r w:rsidR="004076BF">
        <w:rPr>
          <w:rFonts w:eastAsia="Times New Roman"/>
        </w:rPr>
        <w:t>d</w:t>
      </w:r>
      <w:r w:rsidR="00E3774E">
        <w:rPr>
          <w:rFonts w:eastAsia="Times New Roman"/>
        </w:rPr>
        <w:t xml:space="preserve"> solely of independent directors, who are empowered to make all relevant decisions (not just recommendations).  </w:t>
      </w:r>
      <w:r w:rsidR="004076BF">
        <w:rPr>
          <w:rFonts w:eastAsia="Times New Roman"/>
        </w:rPr>
        <w:t xml:space="preserve">Another </w:t>
      </w:r>
      <w:r w:rsidR="004076BF">
        <w:rPr>
          <w:rFonts w:eastAsia="Times New Roman"/>
        </w:rPr>
        <w:lastRenderedPageBreak/>
        <w:t xml:space="preserve">device used to meet the entire fairness test is conditioning </w:t>
      </w:r>
      <w:r w:rsidR="00E3774E">
        <w:rPr>
          <w:rFonts w:eastAsia="Times New Roman"/>
        </w:rPr>
        <w:t xml:space="preserve">the business combination upon approval of a majority of the minority </w:t>
      </w:r>
      <w:r w:rsidR="00D06AD4">
        <w:rPr>
          <w:rFonts w:eastAsia="Times New Roman"/>
        </w:rPr>
        <w:t>sharehol</w:t>
      </w:r>
      <w:r w:rsidR="00E3774E">
        <w:rPr>
          <w:rFonts w:eastAsia="Times New Roman"/>
        </w:rPr>
        <w:t xml:space="preserve">ders. </w:t>
      </w:r>
      <w:r w:rsidR="006474EE">
        <w:rPr>
          <w:rFonts w:eastAsia="Times New Roman"/>
        </w:rPr>
        <w:t xml:space="preserve"> Use of a special committee </w:t>
      </w:r>
      <w:r w:rsidR="00D06AD4">
        <w:rPr>
          <w:rFonts w:eastAsia="Times New Roman"/>
        </w:rPr>
        <w:t>or</w:t>
      </w:r>
      <w:r w:rsidR="006474EE">
        <w:rPr>
          <w:rFonts w:eastAsia="Times New Roman"/>
        </w:rPr>
        <w:t xml:space="preserve"> approval by minority </w:t>
      </w:r>
      <w:r w:rsidR="00D06AD4">
        <w:rPr>
          <w:rFonts w:eastAsia="Times New Roman"/>
        </w:rPr>
        <w:t>sharehol</w:t>
      </w:r>
      <w:r w:rsidR="006474EE">
        <w:rPr>
          <w:rFonts w:eastAsia="Times New Roman"/>
        </w:rPr>
        <w:t>ders would then shift the burden to those challenging the combination to show the lack of fairness.</w:t>
      </w:r>
      <w:r w:rsidR="00D06AD4">
        <w:rPr>
          <w:rStyle w:val="FootnoteReference"/>
          <w:rFonts w:eastAsia="Times New Roman"/>
        </w:rPr>
        <w:footnoteReference w:id="30"/>
      </w:r>
      <w:r w:rsidR="006474EE">
        <w:rPr>
          <w:rFonts w:eastAsia="Times New Roman"/>
        </w:rPr>
        <w:t xml:space="preserve"> </w:t>
      </w:r>
    </w:p>
    <w:p w:rsidR="00643BF0" w:rsidRDefault="008724EC" w:rsidP="00C7727B">
      <w:pPr>
        <w:overflowPunct w:val="0"/>
        <w:spacing w:line="360" w:lineRule="auto"/>
        <w:ind w:firstLine="720"/>
        <w:textAlignment w:val="baseline"/>
        <w:rPr>
          <w:rFonts w:eastAsia="Times New Roman"/>
          <w:i/>
        </w:rPr>
      </w:pPr>
      <w:r>
        <w:rPr>
          <w:rFonts w:eastAsia="Times New Roman"/>
        </w:rPr>
        <w:t xml:space="preserve">In </w:t>
      </w:r>
      <w:r w:rsidR="00E20644" w:rsidRPr="008724EC">
        <w:rPr>
          <w:rFonts w:eastAsia="Times New Roman"/>
          <w:i/>
        </w:rPr>
        <w:t>In re MFW Shareholder Litigation</w:t>
      </w:r>
      <w:r w:rsidR="00E20644">
        <w:rPr>
          <w:rStyle w:val="FootnoteReference"/>
          <w:rFonts w:eastAsia="Times New Roman"/>
        </w:rPr>
        <w:footnoteReference w:id="31"/>
      </w:r>
      <w:r w:rsidR="00E3774E">
        <w:rPr>
          <w:rFonts w:eastAsia="Times New Roman"/>
        </w:rPr>
        <w:t xml:space="preserve">, the Delaware Chancery Court held for the first time that a business combination involving a controlling </w:t>
      </w:r>
      <w:r w:rsidR="00D06AD4">
        <w:rPr>
          <w:rFonts w:eastAsia="Times New Roman"/>
        </w:rPr>
        <w:t>sharehol</w:t>
      </w:r>
      <w:r w:rsidR="00E3774E">
        <w:rPr>
          <w:rFonts w:eastAsia="Times New Roman"/>
        </w:rPr>
        <w:t xml:space="preserve">der could be reviewed under the business judgment rule – instead of the entire fairness test – if the </w:t>
      </w:r>
      <w:r w:rsidR="006474EE">
        <w:rPr>
          <w:rFonts w:eastAsia="Times New Roman"/>
        </w:rPr>
        <w:t xml:space="preserve">combination was initially structured by an independent special committee and subject to approval by a majority of the minority </w:t>
      </w:r>
      <w:r w:rsidR="00D06AD4">
        <w:rPr>
          <w:rFonts w:eastAsia="Times New Roman"/>
        </w:rPr>
        <w:t>sharehol</w:t>
      </w:r>
      <w:r w:rsidR="006474EE">
        <w:rPr>
          <w:rFonts w:eastAsia="Times New Roman"/>
        </w:rPr>
        <w:t xml:space="preserve">ders.  The Chancery Court reasoned that an independent special committee </w:t>
      </w:r>
      <w:r>
        <w:rPr>
          <w:rFonts w:eastAsia="Times New Roman"/>
        </w:rPr>
        <w:t xml:space="preserve">functionally </w:t>
      </w:r>
      <w:r w:rsidR="00C26816">
        <w:rPr>
          <w:rFonts w:eastAsia="Times New Roman"/>
        </w:rPr>
        <w:t xml:space="preserve">duplicates </w:t>
      </w:r>
      <w:r w:rsidR="006474EE">
        <w:rPr>
          <w:rFonts w:eastAsia="Times New Roman"/>
        </w:rPr>
        <w:t>the arms’ length bargaining in a third party transaction, and the minority’s approval acts as a check on the special committee’s work.  By preserving the business judgment rule</w:t>
      </w:r>
      <w:r>
        <w:rPr>
          <w:rFonts w:eastAsia="Times New Roman"/>
        </w:rPr>
        <w:t xml:space="preserve"> when both </w:t>
      </w:r>
      <w:r w:rsidR="004076BF">
        <w:rPr>
          <w:rFonts w:eastAsia="Times New Roman"/>
        </w:rPr>
        <w:t>devices</w:t>
      </w:r>
      <w:r>
        <w:rPr>
          <w:rFonts w:eastAsia="Times New Roman"/>
        </w:rPr>
        <w:t xml:space="preserve"> are used</w:t>
      </w:r>
      <w:r w:rsidR="006474EE">
        <w:rPr>
          <w:rFonts w:eastAsia="Times New Roman"/>
        </w:rPr>
        <w:t xml:space="preserve">, boards are incentivized to use </w:t>
      </w:r>
      <w:r w:rsidR="004076BF">
        <w:rPr>
          <w:rFonts w:eastAsia="Times New Roman"/>
        </w:rPr>
        <w:t xml:space="preserve">both </w:t>
      </w:r>
      <w:r w:rsidR="006474EE">
        <w:rPr>
          <w:rFonts w:eastAsia="Times New Roman"/>
        </w:rPr>
        <w:t>special committees and minority approvals</w:t>
      </w:r>
      <w:r>
        <w:rPr>
          <w:rFonts w:eastAsia="Times New Roman"/>
        </w:rPr>
        <w:t xml:space="preserve">, </w:t>
      </w:r>
      <w:r w:rsidR="004076BF">
        <w:rPr>
          <w:rFonts w:eastAsia="Times New Roman"/>
        </w:rPr>
        <w:t xml:space="preserve">which </w:t>
      </w:r>
      <w:r>
        <w:rPr>
          <w:rFonts w:eastAsia="Times New Roman"/>
        </w:rPr>
        <w:t>benefit</w:t>
      </w:r>
      <w:r w:rsidR="004076BF">
        <w:rPr>
          <w:rFonts w:eastAsia="Times New Roman"/>
        </w:rPr>
        <w:t>s</w:t>
      </w:r>
      <w:r>
        <w:rPr>
          <w:rFonts w:eastAsia="Times New Roman"/>
        </w:rPr>
        <w:t xml:space="preserve"> the minority shareholders.  The corporation avoids the uncertainties and costs of the entire fairness test, the application of which effectively precludes dismissal </w:t>
      </w:r>
      <w:r w:rsidR="004076BF">
        <w:rPr>
          <w:rFonts w:eastAsia="Times New Roman"/>
        </w:rPr>
        <w:t>of any challenge at</w:t>
      </w:r>
      <w:r>
        <w:rPr>
          <w:rFonts w:eastAsia="Times New Roman"/>
        </w:rPr>
        <w:t xml:space="preserve"> the pleading</w:t>
      </w:r>
      <w:r w:rsidR="004076BF">
        <w:rPr>
          <w:rFonts w:eastAsia="Times New Roman"/>
        </w:rPr>
        <w:t xml:space="preserve"> </w:t>
      </w:r>
      <w:r>
        <w:rPr>
          <w:rFonts w:eastAsia="Times New Roman"/>
        </w:rPr>
        <w:t>s</w:t>
      </w:r>
      <w:r w:rsidR="004076BF">
        <w:rPr>
          <w:rFonts w:eastAsia="Times New Roman"/>
        </w:rPr>
        <w:t>tage</w:t>
      </w:r>
      <w:r>
        <w:rPr>
          <w:rFonts w:eastAsia="Times New Roman"/>
        </w:rPr>
        <w:t xml:space="preserve">.  The </w:t>
      </w:r>
      <w:r w:rsidR="006474EE">
        <w:rPr>
          <w:rFonts w:eastAsia="Times New Roman"/>
        </w:rPr>
        <w:t xml:space="preserve">ruling affirms the traditional deference to the directors’ judgment and expertise, which is presumed to create value for the </w:t>
      </w:r>
      <w:r w:rsidR="00D06AD4">
        <w:rPr>
          <w:rFonts w:eastAsia="Times New Roman"/>
        </w:rPr>
        <w:t>sharehol</w:t>
      </w:r>
      <w:r w:rsidR="004076BF">
        <w:rPr>
          <w:rFonts w:eastAsia="Times New Roman"/>
        </w:rPr>
        <w:t xml:space="preserve">ders. </w:t>
      </w:r>
    </w:p>
    <w:p w:rsidR="004F106F" w:rsidRDefault="00643BF0" w:rsidP="00C7727B">
      <w:pPr>
        <w:overflowPunct w:val="0"/>
        <w:spacing w:line="360" w:lineRule="auto"/>
        <w:ind w:firstLine="720"/>
        <w:textAlignment w:val="baseline"/>
        <w:rPr>
          <w:rFonts w:eastAsia="Times New Roman"/>
        </w:rPr>
      </w:pPr>
      <w:r w:rsidRPr="00643BF0">
        <w:rPr>
          <w:rFonts w:eastAsia="Times New Roman"/>
          <w:i/>
        </w:rPr>
        <w:t>Benefit Corporations</w:t>
      </w:r>
      <w:r>
        <w:rPr>
          <w:rFonts w:eastAsia="Times New Roman"/>
        </w:rPr>
        <w:t xml:space="preserve">. </w:t>
      </w:r>
      <w:r w:rsidRPr="00363BC9">
        <w:rPr>
          <w:rFonts w:eastAsia="Times New Roman"/>
        </w:rPr>
        <w:t xml:space="preserve"> </w:t>
      </w:r>
      <w:r>
        <w:rPr>
          <w:rFonts w:eastAsia="Times New Roman"/>
        </w:rPr>
        <w:t>Last year, we discussed the trending development of benefit corporations.</w:t>
      </w:r>
      <w:r w:rsidR="00F561E8">
        <w:rPr>
          <w:rStyle w:val="FootnoteReference"/>
          <w:rFonts w:eastAsia="Times New Roman"/>
        </w:rPr>
        <w:footnoteReference w:id="32"/>
      </w:r>
      <w:r>
        <w:rPr>
          <w:rFonts w:eastAsia="Times New Roman"/>
        </w:rPr>
        <w:t xml:space="preserve">  </w:t>
      </w:r>
      <w:r w:rsidR="00DD5E8B" w:rsidRPr="00363BC9">
        <w:rPr>
          <w:rFonts w:eastAsia="Times New Roman"/>
        </w:rPr>
        <w:t xml:space="preserve">These are </w:t>
      </w:r>
      <w:r>
        <w:rPr>
          <w:rFonts w:eastAsia="Times New Roman"/>
        </w:rPr>
        <w:t xml:space="preserve">for-profit corporations that combine an explicit public benefit with a for-profit business activity.  For example, the benefit corporation might </w:t>
      </w:r>
      <w:r w:rsidR="00D25A67">
        <w:rPr>
          <w:rFonts w:eastAsia="Times New Roman"/>
        </w:rPr>
        <w:t xml:space="preserve">pursue affordable housing or commit to donate some of its profits to charity.  </w:t>
      </w:r>
      <w:r>
        <w:rPr>
          <w:rFonts w:eastAsia="Times New Roman"/>
        </w:rPr>
        <w:t xml:space="preserve">These </w:t>
      </w:r>
      <w:r w:rsidR="00DD5E8B" w:rsidRPr="00363BC9">
        <w:rPr>
          <w:rFonts w:eastAsia="Times New Roman"/>
        </w:rPr>
        <w:t xml:space="preserve">entities </w:t>
      </w:r>
      <w:r w:rsidR="00D25A67">
        <w:rPr>
          <w:rFonts w:eastAsia="Times New Roman"/>
        </w:rPr>
        <w:t xml:space="preserve">arose </w:t>
      </w:r>
      <w:r w:rsidR="00DD5E8B" w:rsidRPr="00363BC9">
        <w:rPr>
          <w:rFonts w:eastAsia="Times New Roman"/>
        </w:rPr>
        <w:t xml:space="preserve">from the corporate social responsibility movement, which </w:t>
      </w:r>
      <w:r>
        <w:rPr>
          <w:rFonts w:eastAsia="Times New Roman"/>
        </w:rPr>
        <w:t xml:space="preserve">believes that </w:t>
      </w:r>
      <w:r w:rsidR="00DD5E8B" w:rsidRPr="00363BC9">
        <w:rPr>
          <w:rFonts w:eastAsia="Times New Roman"/>
        </w:rPr>
        <w:t xml:space="preserve">businesses </w:t>
      </w:r>
      <w:r>
        <w:rPr>
          <w:rFonts w:eastAsia="Times New Roman"/>
        </w:rPr>
        <w:t xml:space="preserve">can </w:t>
      </w:r>
      <w:r w:rsidR="00A327C1" w:rsidRPr="00363BC9">
        <w:rPr>
          <w:rFonts w:eastAsia="Times New Roman"/>
        </w:rPr>
        <w:t xml:space="preserve">create a better society while </w:t>
      </w:r>
      <w:r w:rsidR="004F106F">
        <w:rPr>
          <w:rFonts w:eastAsia="Times New Roman"/>
        </w:rPr>
        <w:t>selling goods and services</w:t>
      </w:r>
      <w:r w:rsidR="00A327C1" w:rsidRPr="00363BC9">
        <w:rPr>
          <w:rFonts w:eastAsia="Times New Roman"/>
        </w:rPr>
        <w:t xml:space="preserve">. </w:t>
      </w:r>
      <w:r w:rsidR="006F6151">
        <w:rPr>
          <w:rFonts w:eastAsia="Times New Roman"/>
        </w:rPr>
        <w:t xml:space="preserve"> This idea implies a balancing of the interests for the shareholders, who presumably want to maximize </w:t>
      </w:r>
      <w:r w:rsidR="006F6151">
        <w:rPr>
          <w:rFonts w:eastAsia="Times New Roman"/>
        </w:rPr>
        <w:lastRenderedPageBreak/>
        <w:t>profits, with the broader interests of other constituencies, such as employees and the community.</w:t>
      </w:r>
      <w:r w:rsidR="00CD5C6F">
        <w:rPr>
          <w:rStyle w:val="FootnoteReference"/>
          <w:rFonts w:eastAsia="Times New Roman"/>
        </w:rPr>
        <w:footnoteReference w:id="33"/>
      </w:r>
      <w:r w:rsidR="006F6151">
        <w:rPr>
          <w:rFonts w:eastAsia="Times New Roman"/>
        </w:rPr>
        <w:t xml:space="preserve"> </w:t>
      </w:r>
    </w:p>
    <w:p w:rsidR="004F106F" w:rsidRDefault="004F106F" w:rsidP="00C7727B">
      <w:pPr>
        <w:overflowPunct w:val="0"/>
        <w:spacing w:line="360" w:lineRule="auto"/>
        <w:ind w:firstLine="720"/>
        <w:textAlignment w:val="baseline"/>
        <w:rPr>
          <w:rFonts w:eastAsia="Times New Roman"/>
          <w:szCs w:val="24"/>
        </w:rPr>
      </w:pPr>
      <w:r w:rsidRPr="00363BC9">
        <w:rPr>
          <w:rFonts w:eastAsia="Times New Roman"/>
          <w:szCs w:val="24"/>
        </w:rPr>
        <w:t xml:space="preserve">Maryland was the first state to adopt benefit corporation legislation, which it did in 2010.  Since then, benefit corporation legislation has been adopted in </w:t>
      </w:r>
      <w:r w:rsidR="006030EE">
        <w:rPr>
          <w:rFonts w:eastAsia="Times New Roman"/>
          <w:szCs w:val="24"/>
        </w:rPr>
        <w:t>20</w:t>
      </w:r>
      <w:r>
        <w:rPr>
          <w:rFonts w:eastAsia="Times New Roman"/>
          <w:szCs w:val="24"/>
        </w:rPr>
        <w:t xml:space="preserve"> states and the District of Columbia.</w:t>
      </w:r>
      <w:r w:rsidRPr="00363BC9">
        <w:rPr>
          <w:rStyle w:val="FootnoteReference"/>
          <w:rFonts w:eastAsia="Times New Roman"/>
          <w:szCs w:val="24"/>
        </w:rPr>
        <w:footnoteReference w:id="34"/>
      </w:r>
      <w:r w:rsidRPr="00363BC9">
        <w:rPr>
          <w:rFonts w:eastAsia="Times New Roman"/>
          <w:szCs w:val="24"/>
        </w:rPr>
        <w:t xml:space="preserve"> </w:t>
      </w:r>
      <w:r>
        <w:rPr>
          <w:rFonts w:eastAsia="Times New Roman"/>
          <w:szCs w:val="24"/>
        </w:rPr>
        <w:t xml:space="preserve">  Notably, Delaware adopted “public benefit corporation” statutes this year.</w:t>
      </w:r>
      <w:r w:rsidR="00255721">
        <w:rPr>
          <w:rStyle w:val="FootnoteReference"/>
          <w:rFonts w:eastAsia="Times New Roman"/>
          <w:szCs w:val="24"/>
        </w:rPr>
        <w:footnoteReference w:id="35"/>
      </w:r>
      <w:r>
        <w:rPr>
          <w:rFonts w:eastAsia="Times New Roman"/>
          <w:szCs w:val="24"/>
        </w:rPr>
        <w:t xml:space="preserve">  </w:t>
      </w:r>
      <w:r w:rsidR="00255721">
        <w:rPr>
          <w:rFonts w:eastAsia="Times New Roman"/>
          <w:szCs w:val="24"/>
        </w:rPr>
        <w:t xml:space="preserve">Given Delaware’s preeminent position in corporate law, some discussion of the Delaware public benefit corporation is warranted. </w:t>
      </w:r>
    </w:p>
    <w:p w:rsidR="00BE725A" w:rsidRDefault="006F6151" w:rsidP="00C7727B">
      <w:pPr>
        <w:overflowPunct w:val="0"/>
        <w:spacing w:line="360" w:lineRule="auto"/>
        <w:ind w:firstLine="720"/>
        <w:textAlignment w:val="baseline"/>
        <w:rPr>
          <w:szCs w:val="24"/>
          <w:shd w:val="clear" w:color="auto" w:fill="FFFFFF"/>
        </w:rPr>
      </w:pPr>
      <w:r w:rsidRPr="006F6151">
        <w:rPr>
          <w:szCs w:val="24"/>
          <w:shd w:val="clear" w:color="auto" w:fill="FFFFFF"/>
        </w:rPr>
        <w:t>Delaware corporate law</w:t>
      </w:r>
      <w:r>
        <w:rPr>
          <w:szCs w:val="24"/>
          <w:shd w:val="clear" w:color="auto" w:fill="FFFFFF"/>
        </w:rPr>
        <w:t>, like corporate laws generally,</w:t>
      </w:r>
      <w:r w:rsidRPr="006F6151">
        <w:rPr>
          <w:szCs w:val="24"/>
          <w:shd w:val="clear" w:color="auto" w:fill="FFFFFF"/>
        </w:rPr>
        <w:t xml:space="preserve"> requires directors to </w:t>
      </w:r>
      <w:r>
        <w:rPr>
          <w:szCs w:val="24"/>
          <w:shd w:val="clear" w:color="auto" w:fill="FFFFFF"/>
        </w:rPr>
        <w:t xml:space="preserve">act </w:t>
      </w:r>
      <w:r w:rsidRPr="006F6151">
        <w:rPr>
          <w:szCs w:val="24"/>
          <w:shd w:val="clear" w:color="auto" w:fill="FFFFFF"/>
        </w:rPr>
        <w:t>for the be</w:t>
      </w:r>
      <w:r>
        <w:rPr>
          <w:szCs w:val="24"/>
          <w:shd w:val="clear" w:color="auto" w:fill="FFFFFF"/>
        </w:rPr>
        <w:t xml:space="preserve">st interests of the </w:t>
      </w:r>
      <w:r w:rsidRPr="006F6151">
        <w:rPr>
          <w:szCs w:val="24"/>
          <w:shd w:val="clear" w:color="auto" w:fill="FFFFFF"/>
        </w:rPr>
        <w:t>shareholders and not for any other constituency.</w:t>
      </w:r>
      <w:r>
        <w:rPr>
          <w:rStyle w:val="FootnoteReference"/>
          <w:szCs w:val="24"/>
          <w:shd w:val="clear" w:color="auto" w:fill="FFFFFF"/>
        </w:rPr>
        <w:footnoteReference w:id="36"/>
      </w:r>
      <w:r>
        <w:rPr>
          <w:szCs w:val="24"/>
          <w:shd w:val="clear" w:color="auto" w:fill="FFFFFF"/>
        </w:rPr>
        <w:t xml:space="preserve">  </w:t>
      </w:r>
      <w:r w:rsidR="00642C5E">
        <w:rPr>
          <w:szCs w:val="24"/>
          <w:shd w:val="clear" w:color="auto" w:fill="FFFFFF"/>
        </w:rPr>
        <w:t>This requirement conflicts</w:t>
      </w:r>
      <w:r w:rsidR="008346AD">
        <w:rPr>
          <w:szCs w:val="24"/>
          <w:shd w:val="clear" w:color="auto" w:fill="FFFFFF"/>
        </w:rPr>
        <w:t>, however,</w:t>
      </w:r>
      <w:r w:rsidR="00642C5E">
        <w:rPr>
          <w:szCs w:val="24"/>
          <w:shd w:val="clear" w:color="auto" w:fill="FFFFFF"/>
        </w:rPr>
        <w:t xml:space="preserve"> with the desire of benefit corporations to </w:t>
      </w:r>
      <w:r w:rsidR="008346AD">
        <w:rPr>
          <w:szCs w:val="24"/>
          <w:shd w:val="clear" w:color="auto" w:fill="FFFFFF"/>
        </w:rPr>
        <w:t>consider the interests of other constituencies.</w:t>
      </w:r>
      <w:r w:rsidR="008346AD">
        <w:rPr>
          <w:rStyle w:val="FootnoteReference"/>
          <w:szCs w:val="24"/>
          <w:shd w:val="clear" w:color="auto" w:fill="FFFFFF"/>
        </w:rPr>
        <w:footnoteReference w:id="37"/>
      </w:r>
      <w:r w:rsidR="008346AD">
        <w:rPr>
          <w:szCs w:val="24"/>
          <w:shd w:val="clear" w:color="auto" w:fill="FFFFFF"/>
        </w:rPr>
        <w:t xml:space="preserve">  To accommodate the broader interests of the benefit corporations, Delaware amended its </w:t>
      </w:r>
      <w:r w:rsidR="00974712">
        <w:rPr>
          <w:szCs w:val="24"/>
          <w:shd w:val="clear" w:color="auto" w:fill="FFFFFF"/>
        </w:rPr>
        <w:t>D</w:t>
      </w:r>
      <w:r w:rsidR="008346AD">
        <w:rPr>
          <w:szCs w:val="24"/>
          <w:shd w:val="clear" w:color="auto" w:fill="FFFFFF"/>
        </w:rPr>
        <w:t>G</w:t>
      </w:r>
      <w:r w:rsidR="00974712">
        <w:rPr>
          <w:szCs w:val="24"/>
          <w:shd w:val="clear" w:color="auto" w:fill="FFFFFF"/>
        </w:rPr>
        <w:t>CL</w:t>
      </w:r>
      <w:r w:rsidR="008346AD">
        <w:rPr>
          <w:szCs w:val="24"/>
          <w:shd w:val="clear" w:color="auto" w:fill="FFFFFF"/>
        </w:rPr>
        <w:t xml:space="preserve">.  </w:t>
      </w:r>
    </w:p>
    <w:p w:rsidR="008346AD" w:rsidRPr="006F6151" w:rsidRDefault="008346AD" w:rsidP="00C7727B">
      <w:pPr>
        <w:overflowPunct w:val="0"/>
        <w:spacing w:line="360" w:lineRule="auto"/>
        <w:ind w:firstLine="720"/>
        <w:textAlignment w:val="baseline"/>
        <w:rPr>
          <w:rFonts w:eastAsia="Times New Roman"/>
          <w:szCs w:val="24"/>
        </w:rPr>
      </w:pPr>
      <w:r>
        <w:rPr>
          <w:szCs w:val="24"/>
          <w:shd w:val="clear" w:color="auto" w:fill="FFFFFF"/>
        </w:rPr>
        <w:lastRenderedPageBreak/>
        <w:t xml:space="preserve">The Delaware public benefit corporation </w:t>
      </w:r>
      <w:r w:rsidR="00B27E40">
        <w:rPr>
          <w:szCs w:val="24"/>
          <w:shd w:val="clear" w:color="auto" w:fill="FFFFFF"/>
        </w:rPr>
        <w:t>elects “to operate in a responsible and sustainable manner” and to identify a specific public benefit purpose.</w:t>
      </w:r>
      <w:r w:rsidR="007F7786">
        <w:rPr>
          <w:rStyle w:val="FootnoteReference"/>
          <w:szCs w:val="24"/>
          <w:shd w:val="clear" w:color="auto" w:fill="FFFFFF"/>
        </w:rPr>
        <w:footnoteReference w:id="38"/>
      </w:r>
      <w:r w:rsidR="00B27E40">
        <w:rPr>
          <w:szCs w:val="24"/>
          <w:shd w:val="clear" w:color="auto" w:fill="FFFFFF"/>
        </w:rPr>
        <w:t xml:space="preserve">  In their decision-making, the </w:t>
      </w:r>
      <w:r w:rsidR="00B27E40">
        <w:rPr>
          <w:rFonts w:eastAsia="Times New Roman"/>
          <w:szCs w:val="24"/>
        </w:rPr>
        <w:t xml:space="preserve">directors must balance the economic interests of the shareholders with the best interests of those affected by the corporation’s conduct and the specific public benefit.  At least biannually, the directors must report to the shareholders about the corporation’s social and environmental impact and its pursuit of the specific public benefit.  In contrast to the </w:t>
      </w:r>
      <w:r w:rsidR="005A151A">
        <w:rPr>
          <w:rFonts w:eastAsia="Times New Roman"/>
          <w:szCs w:val="24"/>
        </w:rPr>
        <w:t xml:space="preserve">proposed </w:t>
      </w:r>
      <w:r w:rsidR="00B27E40">
        <w:rPr>
          <w:rFonts w:eastAsia="Times New Roman"/>
          <w:szCs w:val="24"/>
        </w:rPr>
        <w:t xml:space="preserve">Model </w:t>
      </w:r>
      <w:r w:rsidR="007F7786">
        <w:rPr>
          <w:rFonts w:eastAsia="Times New Roman"/>
          <w:szCs w:val="24"/>
        </w:rPr>
        <w:t xml:space="preserve">Business Corporation </w:t>
      </w:r>
      <w:r w:rsidR="00B27E40">
        <w:rPr>
          <w:rFonts w:eastAsia="Times New Roman"/>
          <w:szCs w:val="24"/>
        </w:rPr>
        <w:t>Act</w:t>
      </w:r>
      <w:r w:rsidR="005A151A">
        <w:rPr>
          <w:rFonts w:eastAsia="Times New Roman"/>
          <w:szCs w:val="24"/>
        </w:rPr>
        <w:t xml:space="preserve"> provisions for benefit corporations</w:t>
      </w:r>
      <w:r w:rsidR="00B27E40">
        <w:rPr>
          <w:rFonts w:eastAsia="Times New Roman"/>
          <w:szCs w:val="24"/>
        </w:rPr>
        <w:t>,</w:t>
      </w:r>
      <w:r w:rsidR="005A151A">
        <w:rPr>
          <w:rStyle w:val="FootnoteReference"/>
          <w:rFonts w:eastAsia="Times New Roman"/>
          <w:szCs w:val="24"/>
        </w:rPr>
        <w:footnoteReference w:id="39"/>
      </w:r>
      <w:r w:rsidR="00B27E40">
        <w:rPr>
          <w:rFonts w:eastAsia="Times New Roman"/>
          <w:szCs w:val="24"/>
        </w:rPr>
        <w:t xml:space="preserve"> the Delaware public benefit corporation is not required to submit public reports or to measure its performance against </w:t>
      </w:r>
      <w:r w:rsidR="00B27E40" w:rsidRPr="00BD32DA">
        <w:rPr>
          <w:rFonts w:eastAsia="Times New Roman"/>
          <w:szCs w:val="24"/>
        </w:rPr>
        <w:t>a third party standard</w:t>
      </w:r>
      <w:r w:rsidR="00B27E40">
        <w:rPr>
          <w:rFonts w:eastAsia="Times New Roman"/>
          <w:szCs w:val="24"/>
        </w:rPr>
        <w:t xml:space="preserve">.  Public reporting and use of a third party standard is permitted, but not required.  </w:t>
      </w:r>
    </w:p>
    <w:p w:rsidR="00BE725A" w:rsidRDefault="00121D2C" w:rsidP="00C7727B">
      <w:pPr>
        <w:overflowPunct w:val="0"/>
        <w:spacing w:line="360" w:lineRule="auto"/>
        <w:ind w:firstLine="720"/>
        <w:textAlignment w:val="baseline"/>
        <w:rPr>
          <w:rFonts w:eastAsia="Times New Roman"/>
          <w:szCs w:val="24"/>
        </w:rPr>
      </w:pPr>
      <w:r>
        <w:rPr>
          <w:rFonts w:eastAsia="Times New Roman"/>
          <w:szCs w:val="24"/>
        </w:rPr>
        <w:t xml:space="preserve">The adoption of benefit corporation statutes has progressed quickly and the concept of matching social responsibility with economic gain is popular.  Monitoring the developments will be interesting.  As with any new concept, there are unsettled issues.  Principal among them will be </w:t>
      </w:r>
      <w:r w:rsidR="004C771F">
        <w:rPr>
          <w:rFonts w:eastAsia="Times New Roman"/>
          <w:szCs w:val="24"/>
        </w:rPr>
        <w:t xml:space="preserve">the application of fiduciary duties to public benefit corporation directors.  The statutes say that directors must balance the competing interests, which implies a diminution of the duties owed the shareholders and an increase in the duties owed to those affected by the corporation’s conduct.  But how do those affected enforce those duties?   The statutes do not confer derivative rights to persons other than shareholders.  </w:t>
      </w:r>
    </w:p>
    <w:p w:rsidR="004C771F" w:rsidRDefault="004C771F" w:rsidP="00C7727B">
      <w:pPr>
        <w:overflowPunct w:val="0"/>
        <w:spacing w:line="360" w:lineRule="auto"/>
        <w:ind w:firstLine="720"/>
        <w:textAlignment w:val="baseline"/>
        <w:rPr>
          <w:rFonts w:eastAsia="Times New Roman"/>
          <w:szCs w:val="24"/>
        </w:rPr>
      </w:pPr>
      <w:r>
        <w:rPr>
          <w:rFonts w:eastAsia="Times New Roman"/>
          <w:szCs w:val="24"/>
        </w:rPr>
        <w:t xml:space="preserve">There is also the concern that directors might use the balancing of interests to pursue personal interests at the expense of the shareholders’ interests.  An example arose in the dispute between </w:t>
      </w:r>
      <w:r w:rsidR="000101C0">
        <w:rPr>
          <w:rFonts w:eastAsia="Times New Roman"/>
          <w:szCs w:val="24"/>
        </w:rPr>
        <w:t xml:space="preserve">Craig Newmark, </w:t>
      </w:r>
      <w:r>
        <w:rPr>
          <w:rFonts w:eastAsia="Times New Roman"/>
          <w:szCs w:val="24"/>
        </w:rPr>
        <w:t>the founder</w:t>
      </w:r>
      <w:r w:rsidR="000101C0">
        <w:rPr>
          <w:rFonts w:eastAsia="Times New Roman"/>
          <w:szCs w:val="24"/>
        </w:rPr>
        <w:t>,</w:t>
      </w:r>
      <w:r>
        <w:rPr>
          <w:rFonts w:eastAsia="Times New Roman"/>
          <w:szCs w:val="24"/>
        </w:rPr>
        <w:t xml:space="preserve"> director </w:t>
      </w:r>
      <w:r w:rsidR="000101C0">
        <w:rPr>
          <w:rFonts w:eastAsia="Times New Roman"/>
          <w:szCs w:val="24"/>
        </w:rPr>
        <w:t xml:space="preserve">and controlling shareholder </w:t>
      </w:r>
      <w:r>
        <w:rPr>
          <w:rFonts w:eastAsia="Times New Roman"/>
          <w:szCs w:val="24"/>
        </w:rPr>
        <w:t>of Craigslist</w:t>
      </w:r>
      <w:r w:rsidR="000101C0">
        <w:rPr>
          <w:rFonts w:eastAsia="Times New Roman"/>
          <w:szCs w:val="24"/>
        </w:rPr>
        <w:t>,</w:t>
      </w:r>
      <w:r>
        <w:rPr>
          <w:rFonts w:eastAsia="Times New Roman"/>
          <w:szCs w:val="24"/>
        </w:rPr>
        <w:t xml:space="preserve"> and eBay, a minority shareholder.</w:t>
      </w:r>
      <w:r w:rsidR="000101C0">
        <w:rPr>
          <w:rStyle w:val="FootnoteReference"/>
          <w:rFonts w:eastAsia="Times New Roman"/>
          <w:szCs w:val="24"/>
        </w:rPr>
        <w:footnoteReference w:id="40"/>
      </w:r>
      <w:r>
        <w:rPr>
          <w:rFonts w:eastAsia="Times New Roman"/>
          <w:szCs w:val="24"/>
        </w:rPr>
        <w:t xml:space="preserve">  </w:t>
      </w:r>
      <w:r w:rsidR="000101C0">
        <w:rPr>
          <w:rFonts w:eastAsia="Times New Roman"/>
          <w:szCs w:val="24"/>
        </w:rPr>
        <w:t xml:space="preserve">Newmark caused the adoption of a shareholder rights plan (poison pill), which impeded eBay’s acquisition of additional </w:t>
      </w:r>
      <w:r w:rsidR="000101C0">
        <w:rPr>
          <w:rFonts w:eastAsia="Times New Roman"/>
          <w:szCs w:val="24"/>
        </w:rPr>
        <w:lastRenderedPageBreak/>
        <w:t>shares and ensured Newmark’s continued control.  Newmark did not claim that the plan’s adoption added shareholder value, but argued that blocking eBay was intrinsic to the preservation of Craigslist’s culture.  The Delaware court struck the plan finding that Newmark’s pursuit of objectives unrelated to shareholder value were a breach of his fiduciary duties.</w:t>
      </w:r>
      <w:r w:rsidR="000101C0">
        <w:rPr>
          <w:rStyle w:val="FootnoteReference"/>
          <w:rFonts w:eastAsia="Times New Roman"/>
          <w:szCs w:val="24"/>
        </w:rPr>
        <w:footnoteReference w:id="41"/>
      </w:r>
      <w:r w:rsidR="000101C0">
        <w:rPr>
          <w:rFonts w:eastAsia="Times New Roman"/>
          <w:szCs w:val="24"/>
        </w:rPr>
        <w:t xml:space="preserve">  Would the court have affirmed the plan if Craigslist had been a benefit corporation?</w:t>
      </w:r>
      <w:r w:rsidR="008B60FE">
        <w:rPr>
          <w:rStyle w:val="FootnoteReference"/>
          <w:rFonts w:eastAsia="Times New Roman"/>
          <w:szCs w:val="24"/>
        </w:rPr>
        <w:footnoteReference w:id="42"/>
      </w:r>
      <w:r w:rsidR="000101C0">
        <w:rPr>
          <w:rFonts w:eastAsia="Times New Roman"/>
          <w:szCs w:val="24"/>
        </w:rPr>
        <w:t xml:space="preserve">  </w:t>
      </w:r>
    </w:p>
    <w:p w:rsidR="00331B18" w:rsidRPr="00363BC9" w:rsidRDefault="00331B18" w:rsidP="00A6041D">
      <w:pPr>
        <w:pStyle w:val="Heading3"/>
        <w:rPr>
          <w:rFonts w:eastAsia="Times New Roman"/>
        </w:rPr>
      </w:pPr>
      <w:r w:rsidRPr="00363BC9">
        <w:rPr>
          <w:rFonts w:eastAsia="Times New Roman"/>
        </w:rPr>
        <w:t>Oklahoma Developments</w:t>
      </w:r>
    </w:p>
    <w:p w:rsidR="004F05D5" w:rsidRPr="00363BC9" w:rsidRDefault="004F05D5" w:rsidP="004F05D5">
      <w:pPr>
        <w:pStyle w:val="Heading4"/>
        <w:spacing w:before="0"/>
        <w:rPr>
          <w:rFonts w:eastAsia="Times New Roman"/>
        </w:rPr>
      </w:pPr>
      <w:r w:rsidRPr="00363BC9">
        <w:rPr>
          <w:rFonts w:eastAsia="Times New Roman"/>
        </w:rPr>
        <w:t>Legislation</w:t>
      </w:r>
      <w:r w:rsidRPr="00363BC9">
        <w:t xml:space="preserve"> </w:t>
      </w:r>
    </w:p>
    <w:p w:rsidR="00F561E8" w:rsidRDefault="009D273F" w:rsidP="000C46EB">
      <w:pPr>
        <w:overflowPunct w:val="0"/>
        <w:spacing w:line="360" w:lineRule="auto"/>
        <w:ind w:firstLine="720"/>
        <w:textAlignment w:val="baseline"/>
      </w:pPr>
      <w:r w:rsidRPr="00363BC9">
        <w:rPr>
          <w:iCs/>
        </w:rPr>
        <w:t>The</w:t>
      </w:r>
      <w:r w:rsidR="006A03C8">
        <w:rPr>
          <w:iCs/>
        </w:rPr>
        <w:t xml:space="preserve"> Legislat</w:t>
      </w:r>
      <w:r w:rsidR="00F561E8">
        <w:rPr>
          <w:iCs/>
        </w:rPr>
        <w:t xml:space="preserve">ure considered three bills in 2013 </w:t>
      </w:r>
      <w:r w:rsidRPr="00363BC9">
        <w:rPr>
          <w:iCs/>
        </w:rPr>
        <w:t xml:space="preserve">dealing with business </w:t>
      </w:r>
      <w:r w:rsidR="00F561E8">
        <w:rPr>
          <w:iCs/>
        </w:rPr>
        <w:t xml:space="preserve">entities.  </w:t>
      </w:r>
      <w:r w:rsidR="00F561E8">
        <w:t>House Bill 1995 would update the Oklahoma General Corporation Act (the “</w:t>
      </w:r>
      <w:r w:rsidR="00F561E8" w:rsidRPr="00F561E8">
        <w:rPr>
          <w:i/>
        </w:rPr>
        <w:t>OGCA</w:t>
      </w:r>
      <w:r w:rsidR="00F561E8">
        <w:t>”) and Oklahoma Limited Liability Company Act (the “</w:t>
      </w:r>
      <w:r w:rsidR="00F561E8" w:rsidRPr="00F561E8">
        <w:rPr>
          <w:i/>
        </w:rPr>
        <w:t>LLC Act</w:t>
      </w:r>
      <w:r w:rsidR="00F561E8">
        <w:t>”).  House Bill 1996 would adopt the Revised Uniform Unincorporated Nonprofit Associations Act (the “</w:t>
      </w:r>
      <w:r w:rsidR="00F561E8" w:rsidRPr="00F561E8">
        <w:rPr>
          <w:i/>
        </w:rPr>
        <w:t>RUUNAA</w:t>
      </w:r>
      <w:r w:rsidR="00F561E8">
        <w:t>”).  House Bill 1646 repealed provisions requiring large, publicly held Oklahoma corporations to have classified boards.</w:t>
      </w:r>
    </w:p>
    <w:p w:rsidR="003E3B7F" w:rsidRDefault="00F561E8" w:rsidP="00F561E8">
      <w:pPr>
        <w:tabs>
          <w:tab w:val="left" w:pos="3285"/>
        </w:tabs>
        <w:overflowPunct w:val="0"/>
        <w:spacing w:line="360" w:lineRule="auto"/>
        <w:ind w:firstLine="720"/>
        <w:textAlignment w:val="baseline"/>
        <w:rPr>
          <w:rFonts w:eastAsia="Times New Roman"/>
        </w:rPr>
      </w:pPr>
      <w:r w:rsidRPr="00F561E8">
        <w:rPr>
          <w:i/>
        </w:rPr>
        <w:t>House Bill 1995</w:t>
      </w:r>
      <w:r>
        <w:t>.  House Bill</w:t>
      </w:r>
      <w:r>
        <w:rPr>
          <w:b/>
        </w:rPr>
        <w:t> </w:t>
      </w:r>
      <w:r>
        <w:t xml:space="preserve">1995 is </w:t>
      </w:r>
      <w:r w:rsidR="003E3B7F">
        <w:t xml:space="preserve">an extensive bill covering over 300 pages and </w:t>
      </w:r>
      <w:r w:rsidR="003E3B7F" w:rsidRPr="00AB5193">
        <w:rPr>
          <w:rFonts w:eastAsia="Times New Roman"/>
        </w:rPr>
        <w:t xml:space="preserve">designed to maintain the </w:t>
      </w:r>
      <w:r w:rsidR="003E3B7F">
        <w:rPr>
          <w:rFonts w:eastAsia="Times New Roman"/>
        </w:rPr>
        <w:t>OGCA and LLC Act.</w:t>
      </w:r>
      <w:r w:rsidR="003E3B7F">
        <w:rPr>
          <w:rStyle w:val="FootnoteReference"/>
          <w:rFonts w:eastAsia="Times New Roman"/>
        </w:rPr>
        <w:footnoteReference w:id="43"/>
      </w:r>
      <w:r w:rsidR="003E3B7F">
        <w:rPr>
          <w:rFonts w:eastAsia="Times New Roman"/>
        </w:rPr>
        <w:t xml:space="preserve">  </w:t>
      </w:r>
      <w:r w:rsidR="003E3B7F" w:rsidRPr="003E3B7F">
        <w:rPr>
          <w:rFonts w:eastAsia="Times New Roman"/>
        </w:rPr>
        <w:t xml:space="preserve">The </w:t>
      </w:r>
      <w:r w:rsidR="003E3B7F">
        <w:rPr>
          <w:rFonts w:eastAsia="Times New Roman"/>
        </w:rPr>
        <w:t xml:space="preserve">most significant changes in the bill </w:t>
      </w:r>
      <w:r w:rsidR="00273C86">
        <w:t xml:space="preserve">would implement recent amendments </w:t>
      </w:r>
      <w:r w:rsidR="0034259B">
        <w:t xml:space="preserve">to </w:t>
      </w:r>
      <w:r w:rsidR="0034259B" w:rsidRPr="003E3B7F">
        <w:rPr>
          <w:rFonts w:eastAsia="Times New Roman"/>
        </w:rPr>
        <w:t>the Delaware General Corporation Law (“</w:t>
      </w:r>
      <w:r w:rsidR="0034259B" w:rsidRPr="00273C86">
        <w:rPr>
          <w:rFonts w:eastAsia="Times New Roman"/>
          <w:i/>
        </w:rPr>
        <w:t>DGCL</w:t>
      </w:r>
      <w:r w:rsidR="0034259B" w:rsidRPr="003E3B7F">
        <w:rPr>
          <w:rFonts w:eastAsia="Times New Roman"/>
        </w:rPr>
        <w:t xml:space="preserve">”) </w:t>
      </w:r>
      <w:r w:rsidR="00273C86">
        <w:t>for non-profit corporations.</w:t>
      </w:r>
      <w:r w:rsidR="0034259B" w:rsidRPr="003E3B7F">
        <w:rPr>
          <w:rFonts w:eastAsia="Times New Roman"/>
          <w:sz w:val="20"/>
          <w:vertAlign w:val="superscript"/>
        </w:rPr>
        <w:footnoteReference w:id="44"/>
      </w:r>
      <w:r w:rsidR="00273C86">
        <w:t xml:space="preserve"> </w:t>
      </w:r>
      <w:r w:rsidR="0034259B">
        <w:t xml:space="preserve"> </w:t>
      </w:r>
      <w:r w:rsidR="00273C86">
        <w:t xml:space="preserve">Other changes in the bill include expanded </w:t>
      </w:r>
      <w:r w:rsidR="00273C86">
        <w:lastRenderedPageBreak/>
        <w:t xml:space="preserve">short-form mergers, separate record dates for notice and voting, and improved definitions of LLC capital interests and membership interests. </w:t>
      </w:r>
    </w:p>
    <w:p w:rsidR="003E3B7F" w:rsidRDefault="003E3B7F" w:rsidP="00F561E8">
      <w:pPr>
        <w:tabs>
          <w:tab w:val="left" w:pos="3285"/>
        </w:tabs>
        <w:overflowPunct w:val="0"/>
        <w:spacing w:line="360" w:lineRule="auto"/>
        <w:ind w:firstLine="720"/>
        <w:textAlignment w:val="baseline"/>
        <w:rPr>
          <w:szCs w:val="24"/>
        </w:rPr>
      </w:pPr>
      <w:r w:rsidRPr="003E3B7F">
        <w:rPr>
          <w:i/>
        </w:rPr>
        <w:noBreakHyphen/>
        <w:t xml:space="preserve"> Non-Profit Corporation Provisions</w:t>
      </w:r>
      <w:r>
        <w:t xml:space="preserve">.  </w:t>
      </w:r>
      <w:r w:rsidR="0062433E">
        <w:rPr>
          <w:szCs w:val="24"/>
        </w:rPr>
        <w:t xml:space="preserve">The OGCA covers both for-profit and </w:t>
      </w:r>
      <w:r w:rsidR="0062433E" w:rsidRPr="008231FD">
        <w:rPr>
          <w:szCs w:val="24"/>
        </w:rPr>
        <w:t xml:space="preserve">non-profit corporations within </w:t>
      </w:r>
      <w:r w:rsidR="0062433E">
        <w:rPr>
          <w:szCs w:val="24"/>
        </w:rPr>
        <w:t>its</w:t>
      </w:r>
      <w:r w:rsidR="0062433E" w:rsidRPr="008231FD">
        <w:rPr>
          <w:szCs w:val="24"/>
        </w:rPr>
        <w:t xml:space="preserve"> scope</w:t>
      </w:r>
      <w:r w:rsidR="0062433E">
        <w:rPr>
          <w:szCs w:val="24"/>
        </w:rPr>
        <w:t>.</w:t>
      </w:r>
      <w:r w:rsidR="0062433E" w:rsidRPr="008231FD">
        <w:rPr>
          <w:szCs w:val="24"/>
        </w:rPr>
        <w:t xml:space="preserve">  </w:t>
      </w:r>
      <w:r w:rsidR="0062433E">
        <w:rPr>
          <w:szCs w:val="24"/>
        </w:rPr>
        <w:t xml:space="preserve">Before these changes – which are largely draw from changes to the DGCL </w:t>
      </w:r>
      <w:r w:rsidR="0062433E">
        <w:rPr>
          <w:szCs w:val="24"/>
        </w:rPr>
        <w:noBreakHyphen/>
        <w:t xml:space="preserve"> </w:t>
      </w:r>
      <w:r w:rsidR="0062433E" w:rsidRPr="008231FD">
        <w:rPr>
          <w:szCs w:val="24"/>
        </w:rPr>
        <w:t xml:space="preserve">application of the OGCA to non-profit corporations was unclear in many instances.  The comprehensive changes in the proposed amendments will fill in the statutory gaps and bring better clarity to non-profit corporations. </w:t>
      </w:r>
      <w:r w:rsidR="0062433E">
        <w:rPr>
          <w:szCs w:val="24"/>
        </w:rPr>
        <w:t xml:space="preserve"> </w:t>
      </w:r>
    </w:p>
    <w:p w:rsidR="0062433E" w:rsidRDefault="0062433E" w:rsidP="00F561E8">
      <w:pPr>
        <w:tabs>
          <w:tab w:val="left" w:pos="3285"/>
        </w:tabs>
        <w:overflowPunct w:val="0"/>
        <w:spacing w:line="360" w:lineRule="auto"/>
        <w:ind w:firstLine="720"/>
        <w:textAlignment w:val="baseline"/>
      </w:pPr>
      <w:r w:rsidRPr="00E045C5">
        <w:rPr>
          <w:szCs w:val="24"/>
        </w:rPr>
        <w:t xml:space="preserve">The clarifying amendments begin with a new </w:t>
      </w:r>
      <w:r>
        <w:rPr>
          <w:szCs w:val="24"/>
        </w:rPr>
        <w:t>s</w:t>
      </w:r>
      <w:r w:rsidRPr="00E045C5">
        <w:rPr>
          <w:szCs w:val="24"/>
        </w:rPr>
        <w:t>ection</w:t>
      </w:r>
      <w:r>
        <w:rPr>
          <w:szCs w:val="24"/>
        </w:rPr>
        <w:t xml:space="preserve"> that </w:t>
      </w:r>
      <w:r w:rsidRPr="00E045C5">
        <w:rPr>
          <w:szCs w:val="24"/>
        </w:rPr>
        <w:t xml:space="preserve">“translates” the terms of the OGCA as they apply to nonstock corporations.  For example, while the OGCA provides that a stock corporation has “shareholders” and a “board of directors”, </w:t>
      </w:r>
      <w:r>
        <w:rPr>
          <w:szCs w:val="24"/>
        </w:rPr>
        <w:t>the new s</w:t>
      </w:r>
      <w:r w:rsidRPr="00E045C5">
        <w:rPr>
          <w:szCs w:val="24"/>
        </w:rPr>
        <w:t xml:space="preserve">ection translates those terms </w:t>
      </w:r>
      <w:r>
        <w:rPr>
          <w:szCs w:val="24"/>
        </w:rPr>
        <w:t>as</w:t>
      </w:r>
      <w:r w:rsidRPr="00E045C5">
        <w:rPr>
          <w:szCs w:val="24"/>
        </w:rPr>
        <w:t xml:space="preserve"> </w:t>
      </w:r>
      <w:r>
        <w:rPr>
          <w:szCs w:val="24"/>
        </w:rPr>
        <w:t xml:space="preserve">the </w:t>
      </w:r>
      <w:r w:rsidRPr="00E045C5">
        <w:rPr>
          <w:szCs w:val="24"/>
        </w:rPr>
        <w:t>“members” and “governing body” of the non</w:t>
      </w:r>
      <w:r>
        <w:rPr>
          <w:szCs w:val="24"/>
        </w:rPr>
        <w:t>-profit</w:t>
      </w:r>
      <w:r w:rsidRPr="00E045C5">
        <w:rPr>
          <w:szCs w:val="24"/>
        </w:rPr>
        <w:t xml:space="preserve"> corporation.  </w:t>
      </w:r>
      <w:r>
        <w:rPr>
          <w:szCs w:val="24"/>
        </w:rPr>
        <w:t>R</w:t>
      </w:r>
      <w:r w:rsidRPr="00E045C5">
        <w:rPr>
          <w:szCs w:val="24"/>
        </w:rPr>
        <w:t xml:space="preserve">eferences to “stock” </w:t>
      </w:r>
      <w:r>
        <w:rPr>
          <w:szCs w:val="24"/>
        </w:rPr>
        <w:t xml:space="preserve">become </w:t>
      </w:r>
      <w:r w:rsidRPr="00E045C5">
        <w:rPr>
          <w:szCs w:val="24"/>
        </w:rPr>
        <w:t>“memberships”</w:t>
      </w:r>
      <w:r>
        <w:rPr>
          <w:szCs w:val="24"/>
        </w:rPr>
        <w:t>.  This section also identifies the OGCA sections that will not apply to non-profit corporations, such as those dealing with capital and surplus.</w:t>
      </w:r>
      <w:r w:rsidRPr="00E045C5">
        <w:rPr>
          <w:szCs w:val="24"/>
        </w:rPr>
        <w:t xml:space="preserve"> </w:t>
      </w:r>
      <w:r w:rsidR="0004421A">
        <w:rPr>
          <w:szCs w:val="24"/>
        </w:rPr>
        <w:t xml:space="preserve"> </w:t>
      </w:r>
      <w:r>
        <w:rPr>
          <w:szCs w:val="24"/>
        </w:rPr>
        <w:t xml:space="preserve">Other sections are changed to </w:t>
      </w:r>
      <w:r w:rsidRPr="00A50F7B">
        <w:rPr>
          <w:szCs w:val="24"/>
        </w:rPr>
        <w:t>clarify the procedures for setting record dates, the calling of special meetings of members and the required vote that must be obtained for corporate action.  These clarifications make it easier for nonstock corporations to take action and deal with corporate governance matters.</w:t>
      </w:r>
    </w:p>
    <w:p w:rsidR="0062433E" w:rsidRDefault="0062433E" w:rsidP="0062433E">
      <w:pPr>
        <w:tabs>
          <w:tab w:val="left" w:pos="3285"/>
        </w:tabs>
        <w:overflowPunct w:val="0"/>
        <w:spacing w:line="360" w:lineRule="auto"/>
        <w:ind w:firstLine="720"/>
        <w:textAlignment w:val="baseline"/>
      </w:pPr>
      <w:r w:rsidRPr="003E3B7F">
        <w:rPr>
          <w:i/>
        </w:rPr>
        <w:noBreakHyphen/>
        <w:t xml:space="preserve"> </w:t>
      </w:r>
      <w:r>
        <w:rPr>
          <w:i/>
        </w:rPr>
        <w:t>Short Form Mergers</w:t>
      </w:r>
      <w:r>
        <w:t>.</w:t>
      </w:r>
      <w:r w:rsidRPr="0062433E">
        <w:rPr>
          <w:bCs/>
          <w:szCs w:val="24"/>
          <w:shd w:val="clear" w:color="auto" w:fill="FFFFFF"/>
        </w:rPr>
        <w:t xml:space="preserve"> </w:t>
      </w:r>
      <w:r>
        <w:rPr>
          <w:bCs/>
          <w:szCs w:val="24"/>
          <w:shd w:val="clear" w:color="auto" w:fill="FFFFFF"/>
        </w:rPr>
        <w:t xml:space="preserve">The OGCA presently provides for </w:t>
      </w:r>
      <w:r w:rsidRPr="00E532E7">
        <w:rPr>
          <w:bCs/>
          <w:szCs w:val="24"/>
          <w:shd w:val="clear" w:color="auto" w:fill="FFFFFF"/>
        </w:rPr>
        <w:t xml:space="preserve">a short form merger between an Oklahoma </w:t>
      </w:r>
      <w:r>
        <w:rPr>
          <w:bCs/>
          <w:szCs w:val="24"/>
          <w:shd w:val="clear" w:color="auto" w:fill="FFFFFF"/>
        </w:rPr>
        <w:t xml:space="preserve">parent </w:t>
      </w:r>
      <w:r w:rsidRPr="00E532E7">
        <w:rPr>
          <w:bCs/>
          <w:szCs w:val="24"/>
          <w:shd w:val="clear" w:color="auto" w:fill="FFFFFF"/>
        </w:rPr>
        <w:t xml:space="preserve">corporation and </w:t>
      </w:r>
      <w:r>
        <w:rPr>
          <w:bCs/>
          <w:szCs w:val="24"/>
          <w:shd w:val="clear" w:color="auto" w:fill="FFFFFF"/>
        </w:rPr>
        <w:t xml:space="preserve">its corporate subsidiary.  A new provision </w:t>
      </w:r>
      <w:r w:rsidR="0004421A">
        <w:rPr>
          <w:bCs/>
          <w:szCs w:val="24"/>
          <w:shd w:val="clear" w:color="auto" w:fill="FFFFFF"/>
        </w:rPr>
        <w:t xml:space="preserve">would </w:t>
      </w:r>
      <w:r>
        <w:rPr>
          <w:bCs/>
          <w:szCs w:val="24"/>
          <w:shd w:val="clear" w:color="auto" w:fill="FFFFFF"/>
        </w:rPr>
        <w:t xml:space="preserve">authorize short-form mergers between a corporate subsidiary and its </w:t>
      </w:r>
      <w:r w:rsidRPr="00E532E7">
        <w:rPr>
          <w:bCs/>
          <w:szCs w:val="24"/>
          <w:shd w:val="clear" w:color="auto" w:fill="FFFFFF"/>
        </w:rPr>
        <w:t>non-corporate parent entity</w:t>
      </w:r>
      <w:r>
        <w:rPr>
          <w:bCs/>
          <w:szCs w:val="24"/>
          <w:shd w:val="clear" w:color="auto" w:fill="FFFFFF"/>
        </w:rPr>
        <w:t xml:space="preserve"> and between a corporate subsidiary and its </w:t>
      </w:r>
      <w:r w:rsidRPr="00E532E7">
        <w:rPr>
          <w:bCs/>
          <w:szCs w:val="24"/>
          <w:shd w:val="clear" w:color="auto" w:fill="FFFFFF"/>
        </w:rPr>
        <w:t>non-</w:t>
      </w:r>
      <w:r>
        <w:rPr>
          <w:bCs/>
          <w:szCs w:val="24"/>
          <w:shd w:val="clear" w:color="auto" w:fill="FFFFFF"/>
        </w:rPr>
        <w:t xml:space="preserve">profit </w:t>
      </w:r>
      <w:r w:rsidRPr="00E532E7">
        <w:rPr>
          <w:bCs/>
          <w:szCs w:val="24"/>
          <w:shd w:val="clear" w:color="auto" w:fill="FFFFFF"/>
        </w:rPr>
        <w:t>parent entity</w:t>
      </w:r>
      <w:r>
        <w:rPr>
          <w:bCs/>
          <w:szCs w:val="24"/>
          <w:shd w:val="clear" w:color="auto" w:fill="FFFFFF"/>
        </w:rPr>
        <w:t>.  A short-form merger dispenses with the need for a shareholder vote when the parent owns 90% or more of the subsidiary.</w:t>
      </w:r>
    </w:p>
    <w:p w:rsidR="0062433E" w:rsidRDefault="0062433E" w:rsidP="0062433E">
      <w:pPr>
        <w:tabs>
          <w:tab w:val="left" w:pos="3285"/>
        </w:tabs>
        <w:overflowPunct w:val="0"/>
        <w:spacing w:line="360" w:lineRule="auto"/>
        <w:ind w:firstLine="720"/>
        <w:textAlignment w:val="baseline"/>
      </w:pPr>
      <w:r w:rsidRPr="003E3B7F">
        <w:rPr>
          <w:i/>
        </w:rPr>
        <w:noBreakHyphen/>
        <w:t xml:space="preserve"> </w:t>
      </w:r>
      <w:r>
        <w:rPr>
          <w:i/>
        </w:rPr>
        <w:t>Separate Record Dates for Notice and Voting</w:t>
      </w:r>
      <w:r>
        <w:t xml:space="preserve">.  </w:t>
      </w:r>
      <w:r>
        <w:rPr>
          <w:szCs w:val="24"/>
        </w:rPr>
        <w:t>Current</w:t>
      </w:r>
      <w:r w:rsidR="0004421A">
        <w:rPr>
          <w:szCs w:val="24"/>
        </w:rPr>
        <w:t>ly</w:t>
      </w:r>
      <w:r>
        <w:rPr>
          <w:szCs w:val="24"/>
        </w:rPr>
        <w:t xml:space="preserve">, a board must fix a record date for notice and voting at a shareholder meeting at no more than 60 days or less than </w:t>
      </w:r>
      <w:r w:rsidR="00587E97">
        <w:rPr>
          <w:szCs w:val="24"/>
        </w:rPr>
        <w:t>ten</w:t>
      </w:r>
      <w:r>
        <w:rPr>
          <w:szCs w:val="24"/>
        </w:rPr>
        <w:t xml:space="preserve"> days before the meeting.  Public companies can face the problem of “empty voting”, in which a person held shares at the record date, disposed of the shares before the meeting, and still votes at the meeting.  Since the voter no longer owns the shares –</w:t>
      </w:r>
      <w:r w:rsidR="00736B67">
        <w:rPr>
          <w:szCs w:val="24"/>
        </w:rPr>
        <w:t xml:space="preserve"> </w:t>
      </w:r>
      <w:r>
        <w:rPr>
          <w:szCs w:val="24"/>
        </w:rPr>
        <w:t>and may have “shorted” the shares –</w:t>
      </w:r>
      <w:r w:rsidR="00736B67">
        <w:rPr>
          <w:szCs w:val="24"/>
        </w:rPr>
        <w:t xml:space="preserve"> </w:t>
      </w:r>
      <w:r>
        <w:rPr>
          <w:szCs w:val="24"/>
        </w:rPr>
        <w:t xml:space="preserve">he may be motivated to vote against the best interests of the corporation and its shareholders generally.  By allowing the board to fix a </w:t>
      </w:r>
      <w:r>
        <w:rPr>
          <w:szCs w:val="24"/>
        </w:rPr>
        <w:lastRenderedPageBreak/>
        <w:t>second record date for voting shortly before the meeting, the shortened period reduces the chance that a person may be voting at the meeting without owning shares.</w:t>
      </w:r>
    </w:p>
    <w:p w:rsidR="003E3B7F" w:rsidRDefault="003E3B7F" w:rsidP="00F561E8">
      <w:pPr>
        <w:tabs>
          <w:tab w:val="left" w:pos="3285"/>
        </w:tabs>
        <w:overflowPunct w:val="0"/>
        <w:spacing w:line="360" w:lineRule="auto"/>
        <w:ind w:firstLine="720"/>
        <w:textAlignment w:val="baseline"/>
        <w:rPr>
          <w:szCs w:val="24"/>
        </w:rPr>
      </w:pPr>
      <w:r w:rsidRPr="003E3B7F">
        <w:rPr>
          <w:i/>
        </w:rPr>
        <w:noBreakHyphen/>
        <w:t xml:space="preserve"> </w:t>
      </w:r>
      <w:r w:rsidR="0062433E">
        <w:rPr>
          <w:i/>
        </w:rPr>
        <w:t>LLC Act Changes</w:t>
      </w:r>
      <w:r>
        <w:t>.</w:t>
      </w:r>
      <w:r w:rsidR="0062433E" w:rsidRPr="0062433E">
        <w:rPr>
          <w:szCs w:val="24"/>
        </w:rPr>
        <w:t xml:space="preserve"> </w:t>
      </w:r>
      <w:r w:rsidR="0062433E">
        <w:rPr>
          <w:szCs w:val="24"/>
        </w:rPr>
        <w:t xml:space="preserve"> In LLCs, there is a distinction between a member’s economic rights – the rights to allocations of income and loss and the rights to distributions –</w:t>
      </w:r>
      <w:r w:rsidR="00482460">
        <w:rPr>
          <w:szCs w:val="24"/>
        </w:rPr>
        <w:t xml:space="preserve"> </w:t>
      </w:r>
      <w:r w:rsidR="0062433E">
        <w:rPr>
          <w:szCs w:val="24"/>
        </w:rPr>
        <w:t>and a member’s non-economic or managerial rights, such as the right to vote or obtain information.  The economic rights are presumably transferable while the non-economic rights are not.  These distinctions were not always apparent in the LLC Act.  The proposed amendments revise the definitions of these terms and ensure their usage is consistent in the LLC Act.  Further changes are made in the LLC Act to clarify a member’s position upon withdrawal from the LLC and to conform the LLC Act to the non-profit changes in the OGCA.</w:t>
      </w:r>
    </w:p>
    <w:p w:rsidR="00C14AD1" w:rsidRDefault="00C14AD1" w:rsidP="00F561E8">
      <w:pPr>
        <w:tabs>
          <w:tab w:val="left" w:pos="3285"/>
        </w:tabs>
        <w:overflowPunct w:val="0"/>
        <w:spacing w:line="360" w:lineRule="auto"/>
        <w:ind w:firstLine="720"/>
        <w:textAlignment w:val="baseline"/>
      </w:pPr>
      <w:r>
        <w:t>House Bill 1995 originated in the House where i</w:t>
      </w:r>
      <w:r w:rsidR="00A8118F">
        <w:t>t</w:t>
      </w:r>
      <w:r>
        <w:t xml:space="preserve"> passed out of </w:t>
      </w:r>
      <w:r w:rsidR="00A8118F">
        <w:t>the Economic Development and Financial Services Committee, but did not reach a vote on the House floor</w:t>
      </w:r>
      <w:r>
        <w:t xml:space="preserve">.  </w:t>
      </w:r>
      <w:r w:rsidR="00A8118F">
        <w:t>The bill remains active for the 2014 legislative session.</w:t>
      </w:r>
    </w:p>
    <w:p w:rsidR="001C0913" w:rsidRDefault="00F561E8" w:rsidP="000C46EB">
      <w:pPr>
        <w:overflowPunct w:val="0"/>
        <w:spacing w:line="360" w:lineRule="auto"/>
        <w:ind w:firstLine="720"/>
        <w:textAlignment w:val="baseline"/>
      </w:pPr>
      <w:r w:rsidRPr="00F561E8">
        <w:rPr>
          <w:i/>
        </w:rPr>
        <w:t>House Bill 199</w:t>
      </w:r>
      <w:r>
        <w:rPr>
          <w:i/>
        </w:rPr>
        <w:t>6</w:t>
      </w:r>
      <w:r>
        <w:t xml:space="preserve">.  The Revised Uniform Unincorporated Nonprofit Associations Act </w:t>
      </w:r>
      <w:r w:rsidR="001C0913">
        <w:t>(the “</w:t>
      </w:r>
      <w:r w:rsidR="001C0913" w:rsidRPr="001C0913">
        <w:rPr>
          <w:i/>
        </w:rPr>
        <w:t>RUUNAA</w:t>
      </w:r>
      <w:r w:rsidR="001C0913">
        <w:t xml:space="preserve">”) </w:t>
      </w:r>
      <w:r>
        <w:t>would fill a statutory void in the law dealing with unincorporated associations.</w:t>
      </w:r>
      <w:r w:rsidR="003E3B7F">
        <w:rPr>
          <w:rStyle w:val="FootnoteReference"/>
        </w:rPr>
        <w:footnoteReference w:id="45"/>
      </w:r>
      <w:r>
        <w:t xml:space="preserve">  Oklahoma has no statutory framework for these voluntary associations, which are generally small volunteer organizations such as church groups, youth organizations, neighborhood associations and garden clubs.  Their legal status and that of their members is uncertain.  Their members can face liability for the obligations of the association.  They may have difficulty opening bank accounts.  They cannot own real property.  </w:t>
      </w:r>
    </w:p>
    <w:p w:rsidR="00F561E8" w:rsidRDefault="001C0913" w:rsidP="000C46EB">
      <w:pPr>
        <w:overflowPunct w:val="0"/>
        <w:spacing w:line="360" w:lineRule="auto"/>
        <w:ind w:firstLine="720"/>
        <w:textAlignment w:val="baseline"/>
        <w:rPr>
          <w:szCs w:val="24"/>
        </w:rPr>
      </w:pPr>
      <w:r>
        <w:t xml:space="preserve">The </w:t>
      </w:r>
      <w:r w:rsidRPr="001C0913">
        <w:t>RUUNAA</w:t>
      </w:r>
      <w:r>
        <w:t xml:space="preserve"> </w:t>
      </w:r>
      <w:r w:rsidR="00F561E8">
        <w:t xml:space="preserve">would address these issues.  </w:t>
      </w:r>
      <w:r>
        <w:t xml:space="preserve">It would recognize associations as separate legal entities.  </w:t>
      </w:r>
      <w:r w:rsidRPr="00B67BD8">
        <w:rPr>
          <w:szCs w:val="24"/>
        </w:rPr>
        <w:t>As such, the</w:t>
      </w:r>
      <w:r w:rsidR="00C14AD1">
        <w:rPr>
          <w:szCs w:val="24"/>
        </w:rPr>
        <w:t xml:space="preserve"> associations</w:t>
      </w:r>
      <w:r w:rsidRPr="00B67BD8">
        <w:rPr>
          <w:szCs w:val="24"/>
        </w:rPr>
        <w:t xml:space="preserve"> c</w:t>
      </w:r>
      <w:r>
        <w:rPr>
          <w:szCs w:val="24"/>
        </w:rPr>
        <w:t>ould</w:t>
      </w:r>
      <w:r w:rsidRPr="00B67BD8">
        <w:rPr>
          <w:szCs w:val="24"/>
        </w:rPr>
        <w:t xml:space="preserve"> own and dispose of property, open accounts and sue and be sued in their own name.  </w:t>
      </w:r>
      <w:r>
        <w:rPr>
          <w:szCs w:val="24"/>
        </w:rPr>
        <w:t xml:space="preserve">The </w:t>
      </w:r>
      <w:r w:rsidRPr="001C0913">
        <w:t>RUUNAA</w:t>
      </w:r>
      <w:r>
        <w:rPr>
          <w:szCs w:val="24"/>
        </w:rPr>
        <w:t xml:space="preserve"> would p</w:t>
      </w:r>
      <w:r w:rsidRPr="001C0913">
        <w:rPr>
          <w:bCs/>
          <w:szCs w:val="24"/>
          <w:shd w:val="clear" w:color="auto" w:fill="FFFFFF"/>
        </w:rPr>
        <w:t>rotect members and managers from personal liability.</w:t>
      </w:r>
      <w:r>
        <w:rPr>
          <w:bCs/>
          <w:szCs w:val="24"/>
          <w:shd w:val="clear" w:color="auto" w:fill="FFFFFF"/>
        </w:rPr>
        <w:t xml:space="preserve">  The </w:t>
      </w:r>
      <w:r w:rsidRPr="00B67BD8">
        <w:rPr>
          <w:bCs/>
          <w:szCs w:val="24"/>
          <w:shd w:val="clear" w:color="auto" w:fill="FFFFFF"/>
        </w:rPr>
        <w:t>association</w:t>
      </w:r>
      <w:r>
        <w:rPr>
          <w:bCs/>
          <w:szCs w:val="24"/>
          <w:shd w:val="clear" w:color="auto" w:fill="FFFFFF"/>
        </w:rPr>
        <w:t xml:space="preserve"> would be responsible for its own obligations.  The members and managers w</w:t>
      </w:r>
      <w:r w:rsidR="00C14AD1">
        <w:rPr>
          <w:bCs/>
          <w:szCs w:val="24"/>
          <w:shd w:val="clear" w:color="auto" w:fill="FFFFFF"/>
        </w:rPr>
        <w:t>ould</w:t>
      </w:r>
      <w:r>
        <w:rPr>
          <w:bCs/>
          <w:szCs w:val="24"/>
          <w:shd w:val="clear" w:color="auto" w:fill="FFFFFF"/>
        </w:rPr>
        <w:t xml:space="preserve"> </w:t>
      </w:r>
      <w:r w:rsidRPr="00B67BD8">
        <w:rPr>
          <w:bCs/>
          <w:szCs w:val="24"/>
          <w:shd w:val="clear" w:color="auto" w:fill="FFFFFF"/>
        </w:rPr>
        <w:t xml:space="preserve">not be </w:t>
      </w:r>
      <w:r>
        <w:rPr>
          <w:bCs/>
          <w:szCs w:val="24"/>
          <w:shd w:val="clear" w:color="auto" w:fill="FFFFFF"/>
        </w:rPr>
        <w:t xml:space="preserve">responsible solely because they </w:t>
      </w:r>
      <w:r>
        <w:rPr>
          <w:bCs/>
          <w:szCs w:val="24"/>
          <w:shd w:val="clear" w:color="auto" w:fill="FFFFFF"/>
        </w:rPr>
        <w:lastRenderedPageBreak/>
        <w:t xml:space="preserve">are members or managers of </w:t>
      </w:r>
      <w:r w:rsidRPr="00B67BD8">
        <w:rPr>
          <w:bCs/>
          <w:szCs w:val="24"/>
          <w:shd w:val="clear" w:color="auto" w:fill="FFFFFF"/>
        </w:rPr>
        <w:t>the association</w:t>
      </w:r>
      <w:r w:rsidRPr="00B67BD8">
        <w:rPr>
          <w:szCs w:val="24"/>
          <w:shd w:val="clear" w:color="auto" w:fill="FFFFFF"/>
        </w:rPr>
        <w:t>.</w:t>
      </w:r>
      <w:r>
        <w:rPr>
          <w:szCs w:val="24"/>
          <w:shd w:val="clear" w:color="auto" w:fill="FFFFFF"/>
        </w:rPr>
        <w:t xml:space="preserve">  The </w:t>
      </w:r>
      <w:r w:rsidRPr="001C0913">
        <w:t>RUUNAA</w:t>
      </w:r>
      <w:r>
        <w:t xml:space="preserve"> would provide default rules </w:t>
      </w:r>
      <w:r>
        <w:rPr>
          <w:szCs w:val="24"/>
        </w:rPr>
        <w:t>for the association’s operations –</w:t>
      </w:r>
      <w:r w:rsidR="00C14AD1">
        <w:rPr>
          <w:szCs w:val="24"/>
        </w:rPr>
        <w:t xml:space="preserve"> </w:t>
      </w:r>
      <w:r>
        <w:rPr>
          <w:szCs w:val="24"/>
        </w:rPr>
        <w:t>member admission and resignation, roles of members and managers, rights to financial information, and restrictions on personal gain –</w:t>
      </w:r>
      <w:r w:rsidR="00C14AD1">
        <w:rPr>
          <w:szCs w:val="24"/>
        </w:rPr>
        <w:t xml:space="preserve"> </w:t>
      </w:r>
      <w:r>
        <w:rPr>
          <w:szCs w:val="24"/>
        </w:rPr>
        <w:t>if the association ha</w:t>
      </w:r>
      <w:r w:rsidR="00C14AD1">
        <w:rPr>
          <w:szCs w:val="24"/>
        </w:rPr>
        <w:t>s</w:t>
      </w:r>
      <w:r>
        <w:rPr>
          <w:szCs w:val="24"/>
        </w:rPr>
        <w:t xml:space="preserve"> no rules of its own.  The RUUNAA also has provisions for dissolution and winding up of an association.  The RUUNAA does not change existing laws applicable to specific associations, such as churches, or existing laws regarding charitable solicitations. </w:t>
      </w:r>
    </w:p>
    <w:p w:rsidR="00C14AD1" w:rsidRDefault="00C14AD1" w:rsidP="000C46EB">
      <w:pPr>
        <w:overflowPunct w:val="0"/>
        <w:spacing w:line="360" w:lineRule="auto"/>
        <w:ind w:firstLine="720"/>
        <w:textAlignment w:val="baseline"/>
      </w:pPr>
      <w:r>
        <w:t xml:space="preserve">House Bill 1996 passed the House, but stalled in the Senate where it remains for the continuation of the legislative session in 2014.  </w:t>
      </w:r>
    </w:p>
    <w:p w:rsidR="00F561E8" w:rsidRDefault="00F561E8" w:rsidP="000C46EB">
      <w:pPr>
        <w:overflowPunct w:val="0"/>
        <w:spacing w:line="360" w:lineRule="auto"/>
        <w:ind w:firstLine="720"/>
        <w:textAlignment w:val="baseline"/>
      </w:pPr>
      <w:r w:rsidRPr="00F561E8">
        <w:rPr>
          <w:i/>
        </w:rPr>
        <w:t>House Bill 1</w:t>
      </w:r>
      <w:r>
        <w:rPr>
          <w:i/>
        </w:rPr>
        <w:t>646</w:t>
      </w:r>
      <w:r>
        <w:t xml:space="preserve">.  This bill repealed </w:t>
      </w:r>
      <w:r w:rsidR="00B177A6">
        <w:t xml:space="preserve">statutory </w:t>
      </w:r>
      <w:r>
        <w:t>provisions requiring large, publicly held Oklahoma corporations to have classified boards.</w:t>
      </w:r>
      <w:r w:rsidR="00B177A6">
        <w:rPr>
          <w:rStyle w:val="FootnoteReference"/>
        </w:rPr>
        <w:footnoteReference w:id="46"/>
      </w:r>
      <w:r>
        <w:t xml:space="preserve">  The </w:t>
      </w:r>
      <w:r w:rsidR="00C14AD1">
        <w:t xml:space="preserve">requirement </w:t>
      </w:r>
      <w:r>
        <w:t>w</w:t>
      </w:r>
      <w:r w:rsidR="00C14AD1">
        <w:t>as</w:t>
      </w:r>
      <w:r>
        <w:t xml:space="preserve"> adopted </w:t>
      </w:r>
      <w:r w:rsidR="00C14AD1">
        <w:t xml:space="preserve">in 2010 </w:t>
      </w:r>
      <w:r>
        <w:t>at Chesapeake</w:t>
      </w:r>
      <w:r w:rsidR="00C14AD1">
        <w:t xml:space="preserve"> Energy</w:t>
      </w:r>
      <w:r>
        <w:t xml:space="preserve">’s behest </w:t>
      </w:r>
      <w:r w:rsidR="00C14AD1">
        <w:t>to alleviate pressure from shareholder activists urging repeal of Chesapeake’s classified board.  Shareholder pressure mounted in 2012 for Chesapeake</w:t>
      </w:r>
      <w:r w:rsidR="00790324">
        <w:t>,</w:t>
      </w:r>
      <w:r w:rsidR="00C14AD1">
        <w:t xml:space="preserve"> </w:t>
      </w:r>
      <w:r>
        <w:t xml:space="preserve">and </w:t>
      </w:r>
      <w:r w:rsidR="00C14AD1">
        <w:t>it agreed that it would “seek relief” from the classified board requirement.</w:t>
      </w:r>
      <w:r w:rsidR="00483CFF">
        <w:rPr>
          <w:rStyle w:val="FootnoteReference"/>
        </w:rPr>
        <w:footnoteReference w:id="47"/>
      </w:r>
      <w:r w:rsidR="00C14AD1">
        <w:t xml:space="preserve">  The </w:t>
      </w:r>
      <w:r>
        <w:t xml:space="preserve">repeal </w:t>
      </w:r>
      <w:r w:rsidR="00C14AD1">
        <w:t xml:space="preserve">of the requirement was </w:t>
      </w:r>
      <w:r>
        <w:t xml:space="preserve">a part of the governance changes within Chesapeake that were negotiated </w:t>
      </w:r>
      <w:r w:rsidR="00C14AD1">
        <w:t>in 2012</w:t>
      </w:r>
      <w:r>
        <w:t>.</w:t>
      </w:r>
      <w:r w:rsidR="00B177A6">
        <w:t xml:space="preserve">  The use of a classified board remains permissible under Section 1027.D of the OGCA</w:t>
      </w:r>
      <w:r w:rsidR="00196C1B">
        <w:t xml:space="preserve"> if provided in the corporation’s initial constituent documents or approved by the shareholders</w:t>
      </w:r>
      <w:r w:rsidR="00B177A6">
        <w:t xml:space="preserve">. </w:t>
      </w:r>
    </w:p>
    <w:p w:rsidR="008B4456" w:rsidRPr="00363BC9" w:rsidRDefault="008B4456" w:rsidP="0008206D">
      <w:pPr>
        <w:pStyle w:val="Heading4"/>
        <w:spacing w:before="240"/>
        <w:rPr>
          <w:rFonts w:eastAsia="Times New Roman"/>
        </w:rPr>
      </w:pPr>
      <w:r w:rsidRPr="00363BC9">
        <w:rPr>
          <w:rFonts w:eastAsia="Times New Roman"/>
        </w:rPr>
        <w:t xml:space="preserve">New </w:t>
      </w:r>
      <w:r w:rsidR="009842D1">
        <w:rPr>
          <w:rFonts w:eastAsia="Times New Roman"/>
        </w:rPr>
        <w:t xml:space="preserve">Oklahoma </w:t>
      </w:r>
      <w:r w:rsidRPr="00363BC9">
        <w:rPr>
          <w:rFonts w:eastAsia="Times New Roman"/>
        </w:rPr>
        <w:t>Cases</w:t>
      </w:r>
    </w:p>
    <w:p w:rsidR="0008206D" w:rsidRDefault="00EC60AA" w:rsidP="0008206D">
      <w:pPr>
        <w:overflowPunct w:val="0"/>
        <w:spacing w:line="360" w:lineRule="auto"/>
        <w:ind w:firstLine="720"/>
        <w:textAlignment w:val="baseline"/>
        <w:rPr>
          <w:rFonts w:eastAsia="Times New Roman"/>
        </w:rPr>
      </w:pPr>
      <w:r>
        <w:rPr>
          <w:rFonts w:eastAsia="Times New Roman"/>
        </w:rPr>
        <w:t xml:space="preserve">Two </w:t>
      </w:r>
      <w:r w:rsidR="0008206D" w:rsidRPr="00363BC9">
        <w:rPr>
          <w:rFonts w:eastAsia="Times New Roman"/>
        </w:rPr>
        <w:t xml:space="preserve">recent </w:t>
      </w:r>
      <w:r>
        <w:rPr>
          <w:rFonts w:eastAsia="Times New Roman"/>
        </w:rPr>
        <w:t xml:space="preserve">Oklahoma </w:t>
      </w:r>
      <w:r w:rsidR="0008206D" w:rsidRPr="00363BC9">
        <w:rPr>
          <w:rFonts w:eastAsia="Times New Roman"/>
        </w:rPr>
        <w:t>case</w:t>
      </w:r>
      <w:r>
        <w:rPr>
          <w:rFonts w:eastAsia="Times New Roman"/>
        </w:rPr>
        <w:t>s</w:t>
      </w:r>
      <w:r w:rsidR="0008206D" w:rsidRPr="00363BC9">
        <w:rPr>
          <w:rFonts w:eastAsia="Times New Roman"/>
        </w:rPr>
        <w:t xml:space="preserve"> deserve mention</w:t>
      </w:r>
      <w:r w:rsidR="00790324">
        <w:rPr>
          <w:rFonts w:eastAsia="Times New Roman"/>
        </w:rPr>
        <w:t xml:space="preserve">.  One </w:t>
      </w:r>
      <w:r>
        <w:rPr>
          <w:rFonts w:eastAsia="Times New Roman"/>
        </w:rPr>
        <w:t xml:space="preserve">deals with shareholder derivative actions and the other deals with agency issues.  </w:t>
      </w:r>
    </w:p>
    <w:p w:rsidR="004918DF" w:rsidRDefault="007B1F14" w:rsidP="0008206D">
      <w:pPr>
        <w:overflowPunct w:val="0"/>
        <w:spacing w:line="360" w:lineRule="auto"/>
        <w:ind w:firstLine="720"/>
        <w:textAlignment w:val="baseline"/>
        <w:rPr>
          <w:rFonts w:eastAsia="Times New Roman"/>
        </w:rPr>
      </w:pPr>
      <w:r w:rsidRPr="00BB0C35">
        <w:rPr>
          <w:rFonts w:eastAsia="Times New Roman"/>
          <w:i/>
        </w:rPr>
        <w:t>Kurtz v. Clark</w:t>
      </w:r>
      <w:r w:rsidR="00EC60AA">
        <w:rPr>
          <w:rStyle w:val="FootnoteReference"/>
          <w:rFonts w:eastAsia="Times New Roman"/>
          <w:i/>
        </w:rPr>
        <w:footnoteReference w:id="48"/>
      </w:r>
      <w:r>
        <w:rPr>
          <w:rFonts w:eastAsia="Times New Roman"/>
        </w:rPr>
        <w:t xml:space="preserve"> began as a shareholder derivative suit brought by the shareholders of Kefftec International, Inc. against two individuals who were also shareholders and were employed by a Kefftec subsidiary.  The plaintiffs asserted that the </w:t>
      </w:r>
      <w:r>
        <w:rPr>
          <w:rFonts w:eastAsia="Times New Roman"/>
        </w:rPr>
        <w:lastRenderedPageBreak/>
        <w:t xml:space="preserve">defendants were attempting to form a competing corporation using the trade secrets of Efftec.  The plaintiffs initially obtained a temporary restraining order against the defendants prohibiting them from destroying evidence or disclosing any trade secrets.  </w:t>
      </w:r>
      <w:r w:rsidR="00115463">
        <w:rPr>
          <w:rFonts w:eastAsia="Times New Roman"/>
        </w:rPr>
        <w:t xml:space="preserve">The defendants later moved for summary judgment based on the plaintiffs’ lack of standing to pursue the derivative claims, which the trial court granted.  The plaintiffs appealed and the </w:t>
      </w:r>
      <w:r w:rsidR="006C1002">
        <w:rPr>
          <w:rFonts w:eastAsia="Times New Roman"/>
        </w:rPr>
        <w:t xml:space="preserve">Court examined </w:t>
      </w:r>
      <w:r w:rsidR="00115463">
        <w:rPr>
          <w:rFonts w:eastAsia="Times New Roman"/>
        </w:rPr>
        <w:t>the plaintiffs</w:t>
      </w:r>
      <w:r w:rsidR="006C1002">
        <w:rPr>
          <w:rFonts w:eastAsia="Times New Roman"/>
        </w:rPr>
        <w:t>’</w:t>
      </w:r>
      <w:r w:rsidR="00115463">
        <w:rPr>
          <w:rFonts w:eastAsia="Times New Roman"/>
        </w:rPr>
        <w:t xml:space="preserve"> standing to pursue the derivative claims.</w:t>
      </w:r>
      <w:r w:rsidR="00115463">
        <w:rPr>
          <w:rStyle w:val="FootnoteReference"/>
          <w:rFonts w:eastAsia="Times New Roman"/>
        </w:rPr>
        <w:footnoteReference w:id="49"/>
      </w:r>
      <w:r w:rsidR="00115463">
        <w:rPr>
          <w:rFonts w:eastAsia="Times New Roman"/>
        </w:rPr>
        <w:t xml:space="preserve"> </w:t>
      </w:r>
    </w:p>
    <w:p w:rsidR="004918DF" w:rsidRDefault="00695213" w:rsidP="0008206D">
      <w:pPr>
        <w:overflowPunct w:val="0"/>
        <w:spacing w:line="360" w:lineRule="auto"/>
        <w:ind w:firstLine="720"/>
        <w:textAlignment w:val="baseline"/>
        <w:rPr>
          <w:rFonts w:eastAsia="Times New Roman"/>
        </w:rPr>
      </w:pPr>
      <w:r>
        <w:rPr>
          <w:rFonts w:eastAsia="Times New Roman"/>
        </w:rPr>
        <w:t xml:space="preserve">To bring a derivative claim, a plaintiff must show that he or she was a shareholder at the time of the alleged wrong and continues to be a shareholder and that he </w:t>
      </w:r>
      <w:r w:rsidR="00A00D54">
        <w:rPr>
          <w:rFonts w:eastAsia="Times New Roman"/>
        </w:rPr>
        <w:t xml:space="preserve">or she </w:t>
      </w:r>
      <w:r>
        <w:rPr>
          <w:rFonts w:eastAsia="Times New Roman"/>
        </w:rPr>
        <w:t>has made demand upon the corporation to right the wrong or that making demand would be futile.</w:t>
      </w:r>
      <w:r>
        <w:rPr>
          <w:rStyle w:val="FootnoteReference"/>
          <w:rFonts w:eastAsia="Times New Roman"/>
        </w:rPr>
        <w:footnoteReference w:id="50"/>
      </w:r>
      <w:r>
        <w:rPr>
          <w:rFonts w:eastAsia="Times New Roman"/>
        </w:rPr>
        <w:t xml:space="preserve">  </w:t>
      </w:r>
      <w:r w:rsidR="00361E94">
        <w:rPr>
          <w:rFonts w:eastAsia="Times New Roman"/>
        </w:rPr>
        <w:t xml:space="preserve">Having received a demand, </w:t>
      </w:r>
      <w:r w:rsidR="00DA652A">
        <w:rPr>
          <w:rFonts w:eastAsia="Times New Roman"/>
        </w:rPr>
        <w:t>a</w:t>
      </w:r>
      <w:r w:rsidR="00361E94">
        <w:rPr>
          <w:rFonts w:eastAsia="Times New Roman"/>
        </w:rPr>
        <w:t xml:space="preserve"> corporation’s board must investigate the basis of the demand and determine in good faith whether pursuit of the claim is in the corporation’s best interests.</w:t>
      </w:r>
      <w:r w:rsidR="00361E94">
        <w:rPr>
          <w:rStyle w:val="FootnoteReference"/>
          <w:rFonts w:eastAsia="Times New Roman"/>
        </w:rPr>
        <w:footnoteReference w:id="51"/>
      </w:r>
      <w:r w:rsidR="00361E94">
        <w:rPr>
          <w:rFonts w:eastAsia="Times New Roman"/>
        </w:rPr>
        <w:t xml:space="preserve"> </w:t>
      </w:r>
    </w:p>
    <w:p w:rsidR="00361E94" w:rsidRDefault="00361E94" w:rsidP="0008206D">
      <w:pPr>
        <w:overflowPunct w:val="0"/>
        <w:spacing w:line="360" w:lineRule="auto"/>
        <w:ind w:firstLine="720"/>
        <w:textAlignment w:val="baseline"/>
        <w:rPr>
          <w:rFonts w:eastAsia="Times New Roman"/>
        </w:rPr>
      </w:pPr>
      <w:r>
        <w:rPr>
          <w:rFonts w:eastAsia="Times New Roman"/>
        </w:rPr>
        <w:t xml:space="preserve">While </w:t>
      </w:r>
      <w:r w:rsidR="002F2FBB">
        <w:rPr>
          <w:rFonts w:eastAsia="Times New Roman"/>
        </w:rPr>
        <w:t xml:space="preserve">some question existed about the form of demand, the defendants acknowledged that a shareholder and former legal counsel of the </w:t>
      </w:r>
      <w:r>
        <w:rPr>
          <w:rFonts w:eastAsia="Times New Roman"/>
        </w:rPr>
        <w:t>corporation</w:t>
      </w:r>
      <w:r w:rsidR="002F2FBB">
        <w:rPr>
          <w:rFonts w:eastAsia="Times New Roman"/>
        </w:rPr>
        <w:t xml:space="preserve"> had told the plaintiffs that he had investigated the claims and determined that the corporation lacked the financial ability to file suit.  The Court found that this was insufficient as a matter of </w:t>
      </w:r>
      <w:r w:rsidR="002F2FBB">
        <w:rPr>
          <w:rFonts w:eastAsia="Times New Roman"/>
        </w:rPr>
        <w:lastRenderedPageBreak/>
        <w:t xml:space="preserve">law to show a good faith investigation and determination that suit was not in the corporation’s best interests.  </w:t>
      </w:r>
    </w:p>
    <w:p w:rsidR="002F2FBB" w:rsidRDefault="002F2FBB" w:rsidP="0008206D">
      <w:pPr>
        <w:overflowPunct w:val="0"/>
        <w:spacing w:line="360" w:lineRule="auto"/>
        <w:ind w:firstLine="720"/>
        <w:textAlignment w:val="baseline"/>
        <w:rPr>
          <w:rFonts w:eastAsia="Times New Roman"/>
        </w:rPr>
      </w:pPr>
      <w:r>
        <w:rPr>
          <w:rFonts w:eastAsia="Times New Roman"/>
        </w:rPr>
        <w:t xml:space="preserve">The Court </w:t>
      </w:r>
      <w:r w:rsidR="00DA652A">
        <w:rPr>
          <w:rFonts w:eastAsia="Times New Roman"/>
        </w:rPr>
        <w:t xml:space="preserve">noted </w:t>
      </w:r>
      <w:r w:rsidR="000E6A30">
        <w:rPr>
          <w:rFonts w:eastAsia="Times New Roman"/>
        </w:rPr>
        <w:t xml:space="preserve">that the corporation had sued the defendants </w:t>
      </w:r>
      <w:r w:rsidR="005A4F09">
        <w:rPr>
          <w:rFonts w:eastAsia="Times New Roman"/>
        </w:rPr>
        <w:t xml:space="preserve">after dismissal of the plaintiffs’ claims, which </w:t>
      </w:r>
      <w:r w:rsidR="000E6A30">
        <w:rPr>
          <w:rFonts w:eastAsia="Times New Roman"/>
        </w:rPr>
        <w:t>support</w:t>
      </w:r>
      <w:r w:rsidR="00BB0C35">
        <w:rPr>
          <w:rFonts w:eastAsia="Times New Roman"/>
        </w:rPr>
        <w:t>ed</w:t>
      </w:r>
      <w:r w:rsidR="000E6A30">
        <w:rPr>
          <w:rFonts w:eastAsia="Times New Roman"/>
        </w:rPr>
        <w:t xml:space="preserve"> the legit</w:t>
      </w:r>
      <w:r w:rsidR="005A4F09">
        <w:rPr>
          <w:rFonts w:eastAsia="Times New Roman"/>
        </w:rPr>
        <w:t>i</w:t>
      </w:r>
      <w:r w:rsidR="000E6A30">
        <w:rPr>
          <w:rFonts w:eastAsia="Times New Roman"/>
        </w:rPr>
        <w:t>m</w:t>
      </w:r>
      <w:r w:rsidR="005A4F09">
        <w:rPr>
          <w:rFonts w:eastAsia="Times New Roman"/>
        </w:rPr>
        <w:t>a</w:t>
      </w:r>
      <w:r w:rsidR="000E6A30">
        <w:rPr>
          <w:rFonts w:eastAsia="Times New Roman"/>
        </w:rPr>
        <w:t>cy of the plaintiff</w:t>
      </w:r>
      <w:r w:rsidR="005A4F09">
        <w:rPr>
          <w:rFonts w:eastAsia="Times New Roman"/>
        </w:rPr>
        <w:t>s’ claims.  The defendants argued that the business judgment rule should protect the decision to dismiss the plaintiffs’ claims.  But it was the defendants in their individual capacities who moved to dismiss.  Whether the corporation’s board had made any decision regarding the plaintiffs’ claims was unclear from the record.  Without a board decision, there was no business judgment to protect.  Th</w:t>
      </w:r>
      <w:r w:rsidR="00495CEE">
        <w:rPr>
          <w:rFonts w:eastAsia="Times New Roman"/>
        </w:rPr>
        <w:t>e Court held that th</w:t>
      </w:r>
      <w:r w:rsidR="005A4F09">
        <w:rPr>
          <w:rFonts w:eastAsia="Times New Roman"/>
        </w:rPr>
        <w:t>is was yet another reason for reversing the trial court’s summary judgment.</w:t>
      </w:r>
      <w:r w:rsidR="00733255">
        <w:rPr>
          <w:rStyle w:val="FootnoteReference"/>
          <w:rFonts w:eastAsia="Times New Roman"/>
        </w:rPr>
        <w:footnoteReference w:id="52"/>
      </w:r>
      <w:r w:rsidR="005A4F09">
        <w:rPr>
          <w:rFonts w:eastAsia="Times New Roman"/>
        </w:rPr>
        <w:t xml:space="preserve">  </w:t>
      </w:r>
    </w:p>
    <w:p w:rsidR="00BB0C35" w:rsidRDefault="00BB0C35" w:rsidP="0008206D">
      <w:pPr>
        <w:overflowPunct w:val="0"/>
        <w:spacing w:line="360" w:lineRule="auto"/>
        <w:ind w:firstLine="720"/>
        <w:textAlignment w:val="baseline"/>
        <w:rPr>
          <w:rFonts w:eastAsia="Times New Roman"/>
        </w:rPr>
      </w:pPr>
      <w:r w:rsidRPr="00BB0C35">
        <w:rPr>
          <w:rFonts w:eastAsia="Times New Roman"/>
          <w:i/>
        </w:rPr>
        <w:t>Kurtz v. Clark</w:t>
      </w:r>
      <w:r>
        <w:rPr>
          <w:rFonts w:eastAsia="Times New Roman"/>
        </w:rPr>
        <w:t xml:space="preserve"> offers a good discussion of the often complex issues surrounding shareholder derivative actions and is worthy of note. </w:t>
      </w:r>
    </w:p>
    <w:p w:rsidR="00BB0C35" w:rsidRDefault="00BB0C35" w:rsidP="0008206D">
      <w:pPr>
        <w:overflowPunct w:val="0"/>
        <w:spacing w:line="360" w:lineRule="auto"/>
        <w:ind w:firstLine="720"/>
        <w:textAlignment w:val="baseline"/>
        <w:rPr>
          <w:rFonts w:eastAsia="Times New Roman"/>
        </w:rPr>
      </w:pPr>
      <w:r w:rsidRPr="00BB0C35">
        <w:rPr>
          <w:rFonts w:eastAsia="Times New Roman"/>
          <w:i/>
        </w:rPr>
        <w:t>Thornton v. Ford Motor Company</w:t>
      </w:r>
      <w:r w:rsidR="00C27589">
        <w:rPr>
          <w:rStyle w:val="FootnoteReference"/>
          <w:rFonts w:eastAsia="Times New Roman"/>
          <w:i/>
        </w:rPr>
        <w:footnoteReference w:id="53"/>
      </w:r>
      <w:r>
        <w:rPr>
          <w:rFonts w:eastAsia="Times New Roman"/>
        </w:rPr>
        <w:t xml:space="preserve"> examines questions of agency in the context of an automobile dealership and the manufacturer.  The plaintiffs were purchasers of vehicles from a dealership that was approved by the manufacturer and that </w:t>
      </w:r>
      <w:r w:rsidR="001A2F3C">
        <w:rPr>
          <w:rFonts w:eastAsia="Times New Roman"/>
        </w:rPr>
        <w:t>failed seven months later.  The plaintiffs sued the defunct dealership, certain principals of the dealership and the manufacturer.  Of the defendants, only the manufacturer remained at trial.</w:t>
      </w:r>
      <w:r w:rsidR="001A2F3C">
        <w:rPr>
          <w:rStyle w:val="FootnoteReference"/>
          <w:rFonts w:eastAsia="Times New Roman"/>
        </w:rPr>
        <w:footnoteReference w:id="54"/>
      </w:r>
    </w:p>
    <w:p w:rsidR="001A2F3C" w:rsidRDefault="007202E3" w:rsidP="0008206D">
      <w:pPr>
        <w:overflowPunct w:val="0"/>
        <w:spacing w:line="360" w:lineRule="auto"/>
        <w:ind w:firstLine="720"/>
        <w:textAlignment w:val="baseline"/>
        <w:rPr>
          <w:rFonts w:eastAsia="Times New Roman"/>
        </w:rPr>
      </w:pPr>
      <w:r>
        <w:rPr>
          <w:rFonts w:eastAsia="Times New Roman"/>
        </w:rPr>
        <w:t>The dealership and manufacturer were parties to a dealership agreement, which the plaintiffs alleged gave the manufacturer control over the dealership</w:t>
      </w:r>
      <w:r w:rsidR="00533EB7">
        <w:rPr>
          <w:rFonts w:eastAsia="Times New Roman"/>
        </w:rPr>
        <w:t xml:space="preserve"> and </w:t>
      </w:r>
      <w:r>
        <w:rPr>
          <w:rFonts w:eastAsia="Times New Roman"/>
        </w:rPr>
        <w:t>made the dealership its agent.  As such</w:t>
      </w:r>
      <w:r w:rsidR="004B16B6">
        <w:rPr>
          <w:rFonts w:eastAsia="Times New Roman"/>
        </w:rPr>
        <w:t>,</w:t>
      </w:r>
      <w:r>
        <w:rPr>
          <w:rFonts w:eastAsia="Times New Roman"/>
        </w:rPr>
        <w:t xml:space="preserve"> the manufacturer would be vicariously liable for the acts of its agent.  </w:t>
      </w:r>
      <w:r w:rsidR="00386642">
        <w:rPr>
          <w:rFonts w:eastAsia="Times New Roman"/>
        </w:rPr>
        <w:t xml:space="preserve">The trial court found that the manufacturer was negligent in its approval of the dealership, had thrown “its considerable weight” into the Oklahoma Motor Vehicle Commission’s approval of the dealership, and had handled certain administrative </w:t>
      </w:r>
      <w:r w:rsidR="00762AA7">
        <w:rPr>
          <w:rFonts w:eastAsia="Times New Roman"/>
        </w:rPr>
        <w:t xml:space="preserve">tasks as </w:t>
      </w:r>
      <w:r w:rsidR="00762AA7">
        <w:rPr>
          <w:rFonts w:eastAsia="Times New Roman"/>
        </w:rPr>
        <w:lastRenderedPageBreak/>
        <w:t>the dealership began operations.  These findings were the basis for trial court’s ruling that the manufacturer’s actions were the proximate cause of the plaintiffs’ damages.</w:t>
      </w:r>
      <w:r w:rsidR="00762AA7">
        <w:rPr>
          <w:rStyle w:val="FootnoteReference"/>
          <w:rFonts w:eastAsia="Times New Roman"/>
        </w:rPr>
        <w:footnoteReference w:id="55"/>
      </w:r>
      <w:r w:rsidR="00762AA7">
        <w:rPr>
          <w:rFonts w:eastAsia="Times New Roman"/>
        </w:rPr>
        <w:t xml:space="preserve">  </w:t>
      </w:r>
    </w:p>
    <w:p w:rsidR="00F54E77" w:rsidRDefault="00F54E77" w:rsidP="0008206D">
      <w:pPr>
        <w:overflowPunct w:val="0"/>
        <w:spacing w:line="360" w:lineRule="auto"/>
        <w:ind w:firstLine="720"/>
        <w:textAlignment w:val="baseline"/>
        <w:rPr>
          <w:rFonts w:eastAsia="Times New Roman"/>
        </w:rPr>
      </w:pPr>
      <w:r>
        <w:rPr>
          <w:rFonts w:eastAsia="Times New Roman"/>
        </w:rPr>
        <w:t>The Court first analyzed whether the dealership was the actual agent of the manufacturer.  It said that the existence of an agency relationship is determined by the intent of the contract language and the parties’ actual conduct.  The dealership agreement said explicitly that the relationship was that of an independent contractor and the allocation of responsibilities under the agreement were consistent with that of an independent contractor.</w:t>
      </w:r>
      <w:r>
        <w:rPr>
          <w:rStyle w:val="FootnoteReference"/>
          <w:rFonts w:eastAsia="Times New Roman"/>
        </w:rPr>
        <w:footnoteReference w:id="56"/>
      </w:r>
      <w:r>
        <w:rPr>
          <w:rFonts w:eastAsia="Times New Roman"/>
        </w:rPr>
        <w:t xml:space="preserve">  Moreover, the Court noted authority for the position that a manufacturer could exercise some control to preserve its goodwill without creating an agency relationship.</w:t>
      </w:r>
      <w:r>
        <w:rPr>
          <w:rStyle w:val="FootnoteReference"/>
          <w:rFonts w:eastAsia="Times New Roman"/>
        </w:rPr>
        <w:footnoteReference w:id="57"/>
      </w:r>
      <w:r>
        <w:rPr>
          <w:rFonts w:eastAsia="Times New Roman"/>
        </w:rPr>
        <w:t xml:space="preserve">  </w:t>
      </w:r>
      <w:r w:rsidR="00D907D0">
        <w:rPr>
          <w:rFonts w:eastAsia="Times New Roman"/>
        </w:rPr>
        <w:t>The Court concluded that no actual agency relationship existed.</w:t>
      </w:r>
    </w:p>
    <w:p w:rsidR="00D907D0" w:rsidRDefault="00D907D0" w:rsidP="0008206D">
      <w:pPr>
        <w:overflowPunct w:val="0"/>
        <w:spacing w:line="360" w:lineRule="auto"/>
        <w:ind w:firstLine="720"/>
        <w:textAlignment w:val="baseline"/>
        <w:rPr>
          <w:rFonts w:eastAsia="Times New Roman"/>
        </w:rPr>
      </w:pPr>
      <w:r>
        <w:rPr>
          <w:rFonts w:eastAsia="Times New Roman"/>
        </w:rPr>
        <w:t>The Court then analyzed whether an apparent agency existed</w:t>
      </w:r>
      <w:r w:rsidR="00D43350">
        <w:rPr>
          <w:rFonts w:eastAsia="Times New Roman"/>
        </w:rPr>
        <w:t xml:space="preserve"> even though actual agency did not</w:t>
      </w:r>
      <w:r>
        <w:rPr>
          <w:rFonts w:eastAsia="Times New Roman"/>
        </w:rPr>
        <w:t xml:space="preserve">.  </w:t>
      </w:r>
      <w:r w:rsidR="00D43350">
        <w:rPr>
          <w:rFonts w:eastAsia="Times New Roman"/>
        </w:rPr>
        <w:t>A principal may be vicariously liable for the acts of a non-agent if the principal’s conduct would reasonably lead a third party to believe that the non-agent was authorized to act for the principal.</w:t>
      </w:r>
      <w:r w:rsidR="00D43350">
        <w:rPr>
          <w:rStyle w:val="FootnoteReference"/>
          <w:rFonts w:eastAsia="Times New Roman"/>
        </w:rPr>
        <w:footnoteReference w:id="58"/>
      </w:r>
      <w:r w:rsidR="00D43350">
        <w:rPr>
          <w:rFonts w:eastAsia="Times New Roman"/>
        </w:rPr>
        <w:t xml:space="preserve">  The plaintiffs argued that display of the manufacturer’s trademark indicated the apparent authority.  But the Court cited precedent rejecting that argument.  The mere display of a </w:t>
      </w:r>
      <w:r w:rsidR="001820FD">
        <w:rPr>
          <w:rFonts w:eastAsia="Times New Roman"/>
        </w:rPr>
        <w:t>manufacturer</w:t>
      </w:r>
      <w:r w:rsidR="00D43350">
        <w:rPr>
          <w:rFonts w:eastAsia="Times New Roman"/>
        </w:rPr>
        <w:t>’s trademark and trade dress does not imply an apparent agency.</w:t>
      </w:r>
      <w:r w:rsidR="00D43350">
        <w:rPr>
          <w:rStyle w:val="FootnoteReference"/>
          <w:rFonts w:eastAsia="Times New Roman"/>
        </w:rPr>
        <w:footnoteReference w:id="59"/>
      </w:r>
      <w:r w:rsidR="00D43350">
        <w:rPr>
          <w:rFonts w:eastAsia="Times New Roman"/>
        </w:rPr>
        <w:t xml:space="preserve">  </w:t>
      </w:r>
    </w:p>
    <w:p w:rsidR="00EC07A9" w:rsidRPr="00363BC9" w:rsidRDefault="001820FD" w:rsidP="0008206D">
      <w:pPr>
        <w:overflowPunct w:val="0"/>
        <w:spacing w:line="360" w:lineRule="auto"/>
        <w:ind w:firstLine="720"/>
        <w:textAlignment w:val="baseline"/>
        <w:rPr>
          <w:rFonts w:eastAsia="Times New Roman"/>
        </w:rPr>
      </w:pPr>
      <w:r>
        <w:rPr>
          <w:rFonts w:eastAsia="Times New Roman"/>
        </w:rPr>
        <w:t xml:space="preserve">Finally, the Court addressed plaintiffs’ claim that the manufacturer was negligent in its approval of the dealership.  The trial court had found that it was foreseeable that an inexperienced, undercapitalized dealership would harm its customers if the manufacturer did not exercise care in the approval of the dealership.  The </w:t>
      </w:r>
      <w:r w:rsidR="00EC07A9">
        <w:rPr>
          <w:rFonts w:eastAsia="Times New Roman"/>
        </w:rPr>
        <w:t xml:space="preserve">Court determined this finding was unsupportable.  The finding could not be predicated on the common law theory of </w:t>
      </w:r>
      <w:r w:rsidR="00EC07A9">
        <w:rPr>
          <w:rFonts w:eastAsia="Times New Roman"/>
        </w:rPr>
        <w:lastRenderedPageBreak/>
        <w:t>negligent hiring or supervision since no employment or agency relationship was shown.</w:t>
      </w:r>
      <w:r w:rsidR="00421C6A">
        <w:rPr>
          <w:rStyle w:val="FootnoteReference"/>
          <w:rFonts w:eastAsia="Times New Roman"/>
        </w:rPr>
        <w:footnoteReference w:id="60"/>
      </w:r>
      <w:r w:rsidR="00EC07A9">
        <w:rPr>
          <w:rFonts w:eastAsia="Times New Roman"/>
        </w:rPr>
        <w:t xml:space="preserve">  The plaintiffs argued for application of a corporate responsibility theory that the Oklahoma Court had applied to hospitals when granting physician privileges.</w:t>
      </w:r>
      <w:r w:rsidR="00B322E4">
        <w:rPr>
          <w:rStyle w:val="FootnoteReference"/>
          <w:rFonts w:eastAsia="Times New Roman"/>
        </w:rPr>
        <w:footnoteReference w:id="61"/>
      </w:r>
      <w:r w:rsidR="00EC07A9">
        <w:rPr>
          <w:rFonts w:eastAsia="Times New Roman"/>
        </w:rPr>
        <w:t xml:space="preserve">  But the Court rejected an extension of that theory noting that hospitals have a unique responsibility for the</w:t>
      </w:r>
      <w:r w:rsidR="00062204">
        <w:rPr>
          <w:rFonts w:eastAsia="Times New Roman"/>
        </w:rPr>
        <w:t>ir</w:t>
      </w:r>
      <w:r w:rsidR="00EC07A9">
        <w:rPr>
          <w:rFonts w:eastAsia="Times New Roman"/>
        </w:rPr>
        <w:t xml:space="preserve"> patients</w:t>
      </w:r>
      <w:r w:rsidR="00421C6A">
        <w:rPr>
          <w:rFonts w:eastAsia="Times New Roman"/>
        </w:rPr>
        <w:t>,</w:t>
      </w:r>
      <w:r w:rsidR="00EC07A9">
        <w:rPr>
          <w:rFonts w:eastAsia="Times New Roman"/>
        </w:rPr>
        <w:t xml:space="preserve"> which is not present in the sale of automobiles.</w:t>
      </w:r>
      <w:r w:rsidR="00B322E4">
        <w:rPr>
          <w:rStyle w:val="FootnoteReference"/>
          <w:rFonts w:eastAsia="Times New Roman"/>
        </w:rPr>
        <w:footnoteReference w:id="62"/>
      </w:r>
      <w:r w:rsidR="00EC07A9">
        <w:rPr>
          <w:rFonts w:eastAsia="Times New Roman"/>
        </w:rPr>
        <w:t xml:space="preserve">  The Court continued saying that a manufacturer </w:t>
      </w:r>
      <w:r w:rsidR="00421C6A">
        <w:rPr>
          <w:rFonts w:eastAsia="Times New Roman"/>
        </w:rPr>
        <w:t xml:space="preserve">cannot be liable for general negligence because the manufacturer </w:t>
      </w:r>
      <w:r w:rsidR="00EC07A9">
        <w:rPr>
          <w:rFonts w:eastAsia="Times New Roman"/>
        </w:rPr>
        <w:t>has no relationship with a dealership’s customer that would create a duty of care.</w:t>
      </w:r>
      <w:r w:rsidR="00F84BD2">
        <w:rPr>
          <w:rStyle w:val="FootnoteReference"/>
          <w:rFonts w:eastAsia="Times New Roman"/>
        </w:rPr>
        <w:footnoteReference w:id="63"/>
      </w:r>
      <w:r w:rsidR="00EC07A9">
        <w:rPr>
          <w:rFonts w:eastAsia="Times New Roman"/>
        </w:rPr>
        <w:t xml:space="preserve">  </w:t>
      </w:r>
    </w:p>
    <w:p w:rsidR="00331B18" w:rsidRPr="00363BC9" w:rsidRDefault="00331B18" w:rsidP="00A6041D">
      <w:pPr>
        <w:pStyle w:val="Heading3"/>
        <w:rPr>
          <w:rFonts w:eastAsia="Times New Roman"/>
        </w:rPr>
      </w:pPr>
      <w:r w:rsidRPr="00363BC9">
        <w:rPr>
          <w:rFonts w:eastAsia="Times New Roman"/>
        </w:rPr>
        <w:t>Conclusion</w:t>
      </w:r>
    </w:p>
    <w:p w:rsidR="00331B18" w:rsidRPr="00363BC9" w:rsidRDefault="0042385B" w:rsidP="00331B18">
      <w:pPr>
        <w:overflowPunct w:val="0"/>
        <w:spacing w:line="360" w:lineRule="auto"/>
        <w:ind w:firstLine="720"/>
        <w:textAlignment w:val="baseline"/>
        <w:rPr>
          <w:rFonts w:eastAsia="Times New Roman"/>
        </w:rPr>
      </w:pPr>
      <w:r w:rsidRPr="00363BC9">
        <w:rPr>
          <w:rFonts w:eastAsia="Times New Roman"/>
        </w:rPr>
        <w:t>W</w:t>
      </w:r>
      <w:r w:rsidR="00A501A1" w:rsidRPr="00363BC9">
        <w:rPr>
          <w:rFonts w:eastAsia="Times New Roman"/>
        </w:rPr>
        <w:t xml:space="preserve">hile </w:t>
      </w:r>
      <w:r w:rsidR="00F43BAD">
        <w:rPr>
          <w:rFonts w:eastAsia="Times New Roman"/>
        </w:rPr>
        <w:t xml:space="preserve">many interesting </w:t>
      </w:r>
      <w:r w:rsidR="00A501A1" w:rsidRPr="00363BC9">
        <w:rPr>
          <w:rFonts w:eastAsia="Times New Roman"/>
        </w:rPr>
        <w:t xml:space="preserve">changes </w:t>
      </w:r>
      <w:r w:rsidR="00F43BAD">
        <w:rPr>
          <w:rFonts w:eastAsia="Times New Roman"/>
        </w:rPr>
        <w:t xml:space="preserve">have and will occur </w:t>
      </w:r>
      <w:r w:rsidR="00A501A1" w:rsidRPr="00363BC9">
        <w:rPr>
          <w:rFonts w:eastAsia="Times New Roman"/>
        </w:rPr>
        <w:t xml:space="preserve">at the Federal level, </w:t>
      </w:r>
      <w:r w:rsidR="00F43BAD">
        <w:rPr>
          <w:rFonts w:eastAsia="Times New Roman"/>
        </w:rPr>
        <w:t xml:space="preserve">the Oklahoma </w:t>
      </w:r>
      <w:r w:rsidR="00C73D7A">
        <w:rPr>
          <w:rFonts w:eastAsia="Times New Roman"/>
        </w:rPr>
        <w:t xml:space="preserve">legislation and </w:t>
      </w:r>
      <w:r w:rsidR="00F43BAD">
        <w:rPr>
          <w:rFonts w:eastAsia="Times New Roman"/>
        </w:rPr>
        <w:t xml:space="preserve">cases remind us </w:t>
      </w:r>
      <w:r w:rsidR="00A501A1" w:rsidRPr="00363BC9">
        <w:rPr>
          <w:rFonts w:eastAsia="Times New Roman"/>
        </w:rPr>
        <w:t>that state laws matter</w:t>
      </w:r>
      <w:r w:rsidR="00C73D7A">
        <w:rPr>
          <w:rFonts w:eastAsia="Times New Roman"/>
        </w:rPr>
        <w:t xml:space="preserve"> too</w:t>
      </w:r>
      <w:r w:rsidR="00A501A1" w:rsidRPr="00363BC9">
        <w:rPr>
          <w:rFonts w:eastAsia="Times New Roman"/>
        </w:rPr>
        <w:t xml:space="preserve">.  </w:t>
      </w:r>
      <w:r w:rsidR="003545EB" w:rsidRPr="00363BC9">
        <w:rPr>
          <w:rFonts w:eastAsia="Times New Roman"/>
        </w:rPr>
        <w:t xml:space="preserve">Thousands of </w:t>
      </w:r>
      <w:r w:rsidR="00F43BAD">
        <w:rPr>
          <w:rFonts w:eastAsia="Times New Roman"/>
        </w:rPr>
        <w:t xml:space="preserve">new </w:t>
      </w:r>
      <w:r w:rsidR="003545EB" w:rsidRPr="00363BC9">
        <w:rPr>
          <w:rFonts w:eastAsia="Times New Roman"/>
        </w:rPr>
        <w:t xml:space="preserve">businesses are formed each year </w:t>
      </w:r>
      <w:r w:rsidR="00F43BAD">
        <w:rPr>
          <w:rFonts w:eastAsia="Times New Roman"/>
        </w:rPr>
        <w:t xml:space="preserve">in Oklahoma.  Add to those </w:t>
      </w:r>
      <w:r w:rsidR="003545EB" w:rsidRPr="00363BC9">
        <w:rPr>
          <w:rFonts w:eastAsia="Times New Roman"/>
        </w:rPr>
        <w:t xml:space="preserve">the existing businesses.  Each </w:t>
      </w:r>
      <w:r w:rsidR="00731948" w:rsidRPr="00363BC9">
        <w:rPr>
          <w:rFonts w:eastAsia="Times New Roman"/>
        </w:rPr>
        <w:t xml:space="preserve">of these many businesses </w:t>
      </w:r>
      <w:r w:rsidR="003545EB" w:rsidRPr="00363BC9">
        <w:rPr>
          <w:rFonts w:eastAsia="Times New Roman"/>
        </w:rPr>
        <w:t xml:space="preserve">depends on Oklahoma statutes and case law to guide their formation and operation.  The law guides relationships among owners, between owners and managers, and between the entity and persons with whom it does business.  As lawyers, we are uniquely positioned to </w:t>
      </w:r>
      <w:r w:rsidR="00731948" w:rsidRPr="00363BC9">
        <w:rPr>
          <w:rFonts w:eastAsia="Times New Roman"/>
        </w:rPr>
        <w:t xml:space="preserve">assist these business and to </w:t>
      </w:r>
      <w:r w:rsidR="003545EB" w:rsidRPr="00363BC9">
        <w:rPr>
          <w:rFonts w:eastAsia="Times New Roman"/>
        </w:rPr>
        <w:t xml:space="preserve">encourage best business practices.  </w:t>
      </w:r>
      <w:r w:rsidR="003545EB" w:rsidRPr="00363BC9">
        <w:t>Good corporate governance means better relationships.  It also makes for a better marketplace.</w:t>
      </w:r>
      <w:r w:rsidR="003545EB" w:rsidRPr="00363BC9">
        <w:rPr>
          <w:rStyle w:val="FootnoteReference"/>
        </w:rPr>
        <w:footnoteReference w:id="64"/>
      </w:r>
      <w:r w:rsidR="003545EB" w:rsidRPr="00363BC9">
        <w:t xml:space="preserve">  Markets are more efficient where transparency and trust are found, and transactional risk decreases. </w:t>
      </w:r>
      <w:r w:rsidR="003545EB" w:rsidRPr="00363BC9">
        <w:rPr>
          <w:rFonts w:eastAsia="Times New Roman"/>
        </w:rPr>
        <w:t xml:space="preserve"> </w:t>
      </w:r>
      <w:r w:rsidR="00731948" w:rsidRPr="00363BC9">
        <w:rPr>
          <w:rFonts w:eastAsia="Times New Roman"/>
        </w:rPr>
        <w:t xml:space="preserve">The resulting economic benefits help us all. </w:t>
      </w:r>
    </w:p>
    <w:p w:rsidR="00562A49" w:rsidRPr="00363BC9" w:rsidRDefault="00562A49" w:rsidP="00331B18">
      <w:pPr>
        <w:overflowPunct w:val="0"/>
        <w:jc w:val="right"/>
        <w:textAlignment w:val="baseline"/>
        <w:rPr>
          <w:rFonts w:eastAsia="Times New Roman"/>
        </w:rPr>
      </w:pPr>
    </w:p>
    <w:p w:rsidR="00331B18" w:rsidRPr="00363BC9" w:rsidRDefault="00331B18" w:rsidP="00331B18">
      <w:pPr>
        <w:overflowPunct w:val="0"/>
        <w:jc w:val="right"/>
        <w:textAlignment w:val="baseline"/>
        <w:rPr>
          <w:rFonts w:eastAsia="Times New Roman"/>
        </w:rPr>
      </w:pPr>
      <w:r w:rsidRPr="00363BC9">
        <w:rPr>
          <w:rFonts w:eastAsia="Times New Roman"/>
        </w:rPr>
        <w:t>Gary W. Derrick</w:t>
      </w:r>
      <w:r w:rsidRPr="00363BC9">
        <w:rPr>
          <w:rFonts w:eastAsia="Times New Roman"/>
        </w:rPr>
        <w:br/>
      </w:r>
      <w:r w:rsidR="00F84BD2">
        <w:rPr>
          <w:rFonts w:eastAsia="Times New Roman"/>
        </w:rPr>
        <w:t>November 13</w:t>
      </w:r>
      <w:r w:rsidRPr="00363BC9">
        <w:rPr>
          <w:rFonts w:eastAsia="Times New Roman"/>
        </w:rPr>
        <w:t xml:space="preserve">, </w:t>
      </w:r>
      <w:r w:rsidR="00132081">
        <w:rPr>
          <w:rFonts w:eastAsia="Times New Roman"/>
        </w:rPr>
        <w:t>2013</w:t>
      </w:r>
    </w:p>
    <w:sectPr w:rsidR="00331B18" w:rsidRPr="00363BC9" w:rsidSect="00611F44">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73" w:rsidRDefault="00831F73" w:rsidP="00331B18">
      <w:pPr>
        <w:spacing w:before="0"/>
      </w:pPr>
      <w:r>
        <w:separator/>
      </w:r>
    </w:p>
  </w:endnote>
  <w:endnote w:type="continuationSeparator" w:id="0">
    <w:p w:rsidR="00831F73" w:rsidRDefault="00831F73" w:rsidP="00331B1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73" w:rsidRDefault="00694065">
    <w:pPr>
      <w:pStyle w:val="Footer"/>
      <w:framePr w:wrap="around" w:vAnchor="text" w:hAnchor="margin" w:xAlign="center" w:y="1"/>
      <w:rPr>
        <w:rStyle w:val="PageNumber"/>
      </w:rPr>
    </w:pPr>
    <w:r>
      <w:rPr>
        <w:rStyle w:val="PageNumber"/>
      </w:rPr>
      <w:fldChar w:fldCharType="begin"/>
    </w:r>
    <w:r w:rsidR="00831F73">
      <w:rPr>
        <w:rStyle w:val="PageNumber"/>
      </w:rPr>
      <w:instrText xml:space="preserve">PAGE  </w:instrText>
    </w:r>
    <w:r>
      <w:rPr>
        <w:rStyle w:val="PageNumber"/>
      </w:rPr>
      <w:fldChar w:fldCharType="end"/>
    </w:r>
  </w:p>
  <w:p w:rsidR="00831F73" w:rsidRDefault="00831F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73" w:rsidRDefault="00694065">
    <w:pPr>
      <w:pStyle w:val="Footer"/>
      <w:framePr w:wrap="around" w:vAnchor="text" w:hAnchor="margin" w:xAlign="center" w:y="1"/>
      <w:rPr>
        <w:rStyle w:val="PageNumber"/>
      </w:rPr>
    </w:pPr>
    <w:r>
      <w:rPr>
        <w:rStyle w:val="PageNumber"/>
      </w:rPr>
      <w:fldChar w:fldCharType="begin"/>
    </w:r>
    <w:r w:rsidR="00831F73">
      <w:rPr>
        <w:rStyle w:val="PageNumber"/>
      </w:rPr>
      <w:instrText xml:space="preserve">PAGE  </w:instrText>
    </w:r>
    <w:r>
      <w:rPr>
        <w:rStyle w:val="PageNumber"/>
      </w:rPr>
      <w:fldChar w:fldCharType="separate"/>
    </w:r>
    <w:r w:rsidR="00831F73">
      <w:rPr>
        <w:rStyle w:val="PageNumber"/>
        <w:noProof/>
      </w:rPr>
      <w:t>3</w:t>
    </w:r>
    <w:r>
      <w:rPr>
        <w:rStyle w:val="PageNumber"/>
      </w:rPr>
      <w:fldChar w:fldCharType="end"/>
    </w:r>
  </w:p>
  <w:p w:rsidR="00831F73" w:rsidRDefault="00831F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73" w:rsidRDefault="00831F73" w:rsidP="00611F44">
    <w:pPr>
      <w:pStyle w:val="Footer"/>
      <w:jc w:val="center"/>
    </w:pPr>
    <w:r>
      <w:rPr>
        <w:sz w:val="20"/>
      </w:rPr>
      <w:t>Gary W. Derrick 2013©</w:t>
    </w:r>
  </w:p>
  <w:p w:rsidR="00831F73" w:rsidRDefault="00831F7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73" w:rsidRDefault="00694065">
    <w:pPr>
      <w:pStyle w:val="Footer"/>
      <w:framePr w:wrap="around" w:vAnchor="text" w:hAnchor="margin" w:xAlign="center" w:y="1"/>
      <w:rPr>
        <w:rStyle w:val="PageNumber"/>
      </w:rPr>
    </w:pPr>
    <w:r>
      <w:rPr>
        <w:rStyle w:val="PageNumber"/>
      </w:rPr>
      <w:fldChar w:fldCharType="begin"/>
    </w:r>
    <w:r w:rsidR="00831F73">
      <w:rPr>
        <w:rStyle w:val="PageNumber"/>
      </w:rPr>
      <w:instrText xml:space="preserve">PAGE  </w:instrText>
    </w:r>
    <w:r>
      <w:rPr>
        <w:rStyle w:val="PageNumber"/>
      </w:rPr>
      <w:fldChar w:fldCharType="end"/>
    </w:r>
  </w:p>
  <w:p w:rsidR="00831F73" w:rsidRDefault="00831F7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73" w:rsidRDefault="00694065">
    <w:pPr>
      <w:pStyle w:val="Footer"/>
      <w:framePr w:wrap="around" w:vAnchor="text" w:hAnchor="margin" w:xAlign="center" w:y="1"/>
      <w:rPr>
        <w:rStyle w:val="PageNumber"/>
      </w:rPr>
    </w:pPr>
    <w:r>
      <w:rPr>
        <w:rStyle w:val="PageNumber"/>
      </w:rPr>
      <w:fldChar w:fldCharType="begin"/>
    </w:r>
    <w:r w:rsidR="00831F73">
      <w:rPr>
        <w:rStyle w:val="PageNumber"/>
      </w:rPr>
      <w:instrText xml:space="preserve">PAGE  </w:instrText>
    </w:r>
    <w:r>
      <w:rPr>
        <w:rStyle w:val="PageNumber"/>
      </w:rPr>
      <w:fldChar w:fldCharType="separate"/>
    </w:r>
    <w:r w:rsidR="00F11640">
      <w:rPr>
        <w:rStyle w:val="PageNumber"/>
        <w:noProof/>
      </w:rPr>
      <w:t>7</w:t>
    </w:r>
    <w:r>
      <w:rPr>
        <w:rStyle w:val="PageNumber"/>
      </w:rPr>
      <w:fldChar w:fldCharType="end"/>
    </w:r>
  </w:p>
  <w:p w:rsidR="00831F73" w:rsidRDefault="00831F7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73" w:rsidRPr="0028017F" w:rsidRDefault="00831F73" w:rsidP="00611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73" w:rsidRDefault="00831F73" w:rsidP="00331B18">
      <w:pPr>
        <w:spacing w:before="0"/>
      </w:pPr>
      <w:r>
        <w:separator/>
      </w:r>
    </w:p>
  </w:footnote>
  <w:footnote w:type="continuationSeparator" w:id="0">
    <w:p w:rsidR="00831F73" w:rsidRDefault="00831F73" w:rsidP="00331B18">
      <w:pPr>
        <w:spacing w:before="0"/>
      </w:pPr>
      <w:r>
        <w:continuationSeparator/>
      </w:r>
    </w:p>
  </w:footnote>
  <w:footnote w:id="1">
    <w:p w:rsidR="00831F73" w:rsidRPr="00363BC9" w:rsidRDefault="00831F73" w:rsidP="00D81C32">
      <w:pPr>
        <w:pStyle w:val="FootnoteText"/>
      </w:pPr>
      <w:r w:rsidRPr="00363BC9">
        <w:rPr>
          <w:rStyle w:val="FootnoteReference"/>
        </w:rPr>
        <w:footnoteRef/>
      </w:r>
      <w:r w:rsidRPr="00363BC9">
        <w:t xml:space="preserve"> </w:t>
      </w:r>
      <w:r w:rsidRPr="00363BC9">
        <w:tab/>
        <w:t>The derivatives markets have expanded in 30 years from a small U.S. market to a globalized market with an outstanding notional value of $6</w:t>
      </w:r>
      <w:r>
        <w:t>93</w:t>
      </w:r>
      <w:r w:rsidRPr="00363BC9">
        <w:t xml:space="preserve"> trillion at </w:t>
      </w:r>
      <w:r>
        <w:t>June 30, 2013,</w:t>
      </w:r>
      <w:r w:rsidRPr="00363BC9">
        <w:t xml:space="preserve"> for OTC derivatives and exchange-traded derivatives.  Bank for International Settlement, Semiannual OTC derivatives statistics (</w:t>
      </w:r>
      <w:r>
        <w:t xml:space="preserve">updated 7 Nov </w:t>
      </w:r>
      <w:r w:rsidRPr="00363BC9">
        <w:t>201</w:t>
      </w:r>
      <w:r>
        <w:t>3</w:t>
      </w:r>
      <w:r w:rsidRPr="00363BC9">
        <w:t>)</w:t>
      </w:r>
      <w:r>
        <w:t xml:space="preserve"> (at </w:t>
      </w:r>
      <w:hyperlink r:id="rId1" w:history="1">
        <w:r>
          <w:rPr>
            <w:rStyle w:val="Hyperlink"/>
          </w:rPr>
          <w:t>http://www.bis.org/statistics/derstats.htm</w:t>
        </w:r>
      </w:hyperlink>
      <w:r>
        <w:t>)</w:t>
      </w:r>
      <w:r w:rsidRPr="00363BC9">
        <w:t xml:space="preserve">.   The </w:t>
      </w:r>
      <w:r>
        <w:t xml:space="preserve">global </w:t>
      </w:r>
      <w:r w:rsidRPr="00363BC9">
        <w:t>private equity market grew from approximately $</w:t>
      </w:r>
      <w:r>
        <w:t>38</w:t>
      </w:r>
      <w:r w:rsidRPr="00363BC9">
        <w:t xml:space="preserve"> billion in new </w:t>
      </w:r>
      <w:r>
        <w:t xml:space="preserve">capital </w:t>
      </w:r>
      <w:r w:rsidRPr="00363BC9">
        <w:t>in 199</w:t>
      </w:r>
      <w:r>
        <w:t>5</w:t>
      </w:r>
      <w:r w:rsidRPr="00363BC9">
        <w:t xml:space="preserve"> to approximately $</w:t>
      </w:r>
      <w:r>
        <w:t>321</w:t>
      </w:r>
      <w:r w:rsidRPr="00363BC9">
        <w:t> billion in 20</w:t>
      </w:r>
      <w:r>
        <w:t>12</w:t>
      </w:r>
      <w:r w:rsidRPr="00363BC9">
        <w:t xml:space="preserve">.  </w:t>
      </w:r>
      <w:r>
        <w:t xml:space="preserve">In 2012, the </w:t>
      </w:r>
      <w:r w:rsidRPr="00363BC9">
        <w:t>global private equity industry had nearly $</w:t>
      </w:r>
      <w:r>
        <w:t>900 billion</w:t>
      </w:r>
      <w:r w:rsidRPr="00363BC9">
        <w:t xml:space="preserve"> of uninvested cash and along with $2</w:t>
      </w:r>
      <w:r>
        <w:t>.2</w:t>
      </w:r>
      <w:r w:rsidRPr="00363BC9">
        <w:t xml:space="preserve">trillion in </w:t>
      </w:r>
      <w:r>
        <w:t>unrealized capital</w:t>
      </w:r>
      <w:r w:rsidRPr="00363BC9">
        <w:t xml:space="preserve">. </w:t>
      </w:r>
      <w:r>
        <w:t xml:space="preserve"> </w:t>
      </w:r>
      <w:r w:rsidRPr="008E4F88">
        <w:rPr>
          <w:i/>
        </w:rPr>
        <w:t>Global Private Equity Report for 2013</w:t>
      </w:r>
      <w:r w:rsidRPr="00363BC9">
        <w:t>, Bain &amp; Company</w:t>
      </w:r>
      <w:r>
        <w:t xml:space="preserve"> (at </w:t>
      </w:r>
      <w:hyperlink r:id="rId2" w:history="1">
        <w:r w:rsidRPr="001E615B">
          <w:rPr>
            <w:rStyle w:val="Hyperlink"/>
          </w:rPr>
          <w:t>http://www.bain.com/publications/ business-insights/global-private-equity-report.aspx</w:t>
        </w:r>
      </w:hyperlink>
      <w:r>
        <w:t>).</w:t>
      </w:r>
      <w:r w:rsidRPr="00363BC9">
        <w:t xml:space="preserve"> </w:t>
      </w:r>
    </w:p>
    <w:p w:rsidR="00831F73" w:rsidRPr="00363BC9" w:rsidRDefault="00831F73" w:rsidP="00D81C32">
      <w:pPr>
        <w:pStyle w:val="FootnoteText"/>
      </w:pPr>
      <w:r w:rsidRPr="00363BC9">
        <w:tab/>
        <w:t xml:space="preserve">While derivatives and private equity have shown remarkable growth, others sectors have retracted.  For example, the number of U.S. public companies going public annually fell by half from 1997 to 2009.  Davis, Gerald F., </w:t>
      </w:r>
      <w:r w:rsidRPr="00363BC9">
        <w:rPr>
          <w:i/>
        </w:rPr>
        <w:t>The Twilight of the Berle and Means Corporation</w:t>
      </w:r>
      <w:r w:rsidRPr="00363BC9">
        <w:t>, 34 Seattle L. Rev. 1121 (2011).</w:t>
      </w:r>
    </w:p>
  </w:footnote>
  <w:footnote w:id="2">
    <w:p w:rsidR="00831F73" w:rsidRPr="00363BC9" w:rsidRDefault="00831F73" w:rsidP="00D81C32">
      <w:pPr>
        <w:pStyle w:val="Footnote"/>
      </w:pPr>
      <w:r w:rsidRPr="00363BC9">
        <w:rPr>
          <w:rStyle w:val="FootnoteReference"/>
        </w:rPr>
        <w:footnoteRef/>
      </w:r>
      <w:r w:rsidRPr="00363BC9">
        <w:t xml:space="preserve"> </w:t>
      </w:r>
      <w:r w:rsidRPr="00363BC9">
        <w:tab/>
      </w:r>
      <w:r w:rsidRPr="00363BC9">
        <w:rPr>
          <w:i/>
        </w:rPr>
        <w:t>See gen</w:t>
      </w:r>
      <w:r w:rsidRPr="00363BC9">
        <w:t xml:space="preserve">. Carl Dahlman, “Technology, Globalization, and International Competitiveness”, </w:t>
      </w:r>
      <w:r w:rsidRPr="00363BC9">
        <w:rPr>
          <w:i/>
        </w:rPr>
        <w:t>Industrial Development for the 21</w:t>
      </w:r>
      <w:r w:rsidRPr="00363BC9">
        <w:rPr>
          <w:i/>
          <w:vertAlign w:val="superscript"/>
        </w:rPr>
        <w:t>st</w:t>
      </w:r>
      <w:r w:rsidRPr="00363BC9">
        <w:rPr>
          <w:i/>
        </w:rPr>
        <w:t xml:space="preserve"> Century</w:t>
      </w:r>
      <w:r w:rsidRPr="00363BC9">
        <w:t xml:space="preserve"> (United Nations, 2007) (available at </w:t>
      </w:r>
      <w:hyperlink r:id="rId3" w:history="1">
        <w:r w:rsidRPr="00363BC9">
          <w:rPr>
            <w:rStyle w:val="Hyperlink"/>
            <w:color w:val="auto"/>
          </w:rPr>
          <w:t>http://www.un.org/esa/ sustdev/publications/industrial_development/1_2.pdf</w:t>
        </w:r>
      </w:hyperlink>
      <w:r w:rsidRPr="00363BC9">
        <w:t xml:space="preserve">); and Thomas Friedman, </w:t>
      </w:r>
      <w:r w:rsidRPr="00363BC9">
        <w:rPr>
          <w:i/>
        </w:rPr>
        <w:t>The World is Flat</w:t>
      </w:r>
      <w:r w:rsidRPr="00363BC9">
        <w:t xml:space="preserve"> (2005)</w:t>
      </w:r>
      <w:r>
        <w:t xml:space="preserve">; Robert E. Lucas, Jr., “The Industrial Revolution: Past and Future”, </w:t>
      </w:r>
      <w:r w:rsidRPr="007C6E3E">
        <w:rPr>
          <w:i/>
        </w:rPr>
        <w:t>The Region</w:t>
      </w:r>
      <w:r>
        <w:t>, publication of The Federal Reserve of Minneapolis (May 2004)</w:t>
      </w:r>
      <w:r w:rsidRPr="00363BC9">
        <w:t xml:space="preserve">. </w:t>
      </w:r>
    </w:p>
  </w:footnote>
  <w:footnote w:id="3">
    <w:p w:rsidR="00831F73" w:rsidRPr="00363BC9" w:rsidRDefault="00831F73" w:rsidP="00D81C32">
      <w:pPr>
        <w:pStyle w:val="FootnoteText"/>
      </w:pPr>
      <w:r w:rsidRPr="00363BC9">
        <w:rPr>
          <w:rStyle w:val="FootnoteReference"/>
        </w:rPr>
        <w:footnoteRef/>
      </w:r>
      <w:r w:rsidRPr="00363BC9">
        <w:t xml:space="preserve"> </w:t>
      </w:r>
      <w:r w:rsidRPr="00363BC9">
        <w:tab/>
      </w:r>
      <w:r w:rsidRPr="00363BC9">
        <w:rPr>
          <w:i/>
        </w:rPr>
        <w:t>See</w:t>
      </w:r>
      <w:r w:rsidRPr="00363BC9">
        <w:t xml:space="preserve"> </w:t>
      </w:r>
      <w:r w:rsidRPr="00363BC9">
        <w:rPr>
          <w:i/>
        </w:rPr>
        <w:t>Financial Crisis Inquiry Commission Report</w:t>
      </w:r>
      <w:r w:rsidRPr="00363BC9">
        <w:t xml:space="preserve">, </w:t>
      </w:r>
      <w:r w:rsidRPr="00363BC9">
        <w:rPr>
          <w:i/>
        </w:rPr>
        <w:t>Conclusions of the Financial Crisis Inquiry Commission</w:t>
      </w:r>
      <w:r w:rsidRPr="00363BC9">
        <w:t xml:space="preserve"> (January 2011); </w:t>
      </w:r>
      <w:r w:rsidRPr="00363BC9">
        <w:rPr>
          <w:i/>
        </w:rPr>
        <w:t>see also</w:t>
      </w:r>
      <w:r w:rsidRPr="00363BC9">
        <w:t xml:space="preserve"> </w:t>
      </w:r>
      <w:r w:rsidRPr="00363BC9">
        <w:rPr>
          <w:i/>
        </w:rPr>
        <w:t>Financial Crisis Inquiry Commission – Dissenting Statements by Keith Hennessey, Douglas Holtz-Eakin and Bill Thomas and by Peter J. Wallison</w:t>
      </w:r>
      <w:r w:rsidRPr="00363BC9">
        <w:t xml:space="preserve"> (January 2011).  There is a fallacy of belief – at least in an open economy </w:t>
      </w:r>
      <w:r w:rsidRPr="00363BC9">
        <w:noBreakHyphen/>
        <w:t xml:space="preserve"> that good government policies ensure the success of the economy while poor government policies will hurt the economy.  Government policy may influence an open economy, but cannot control it.</w:t>
      </w:r>
    </w:p>
  </w:footnote>
  <w:footnote w:id="4">
    <w:p w:rsidR="00831F73" w:rsidRPr="00363BC9" w:rsidRDefault="00831F73" w:rsidP="009763E0">
      <w:pPr>
        <w:pStyle w:val="FootnoteText"/>
      </w:pPr>
      <w:r w:rsidRPr="00363BC9">
        <w:rPr>
          <w:rStyle w:val="FootnoteReference"/>
        </w:rPr>
        <w:footnoteRef/>
      </w:r>
      <w:r w:rsidRPr="00363BC9">
        <w:t xml:space="preserve"> </w:t>
      </w:r>
      <w:r w:rsidRPr="00363BC9">
        <w:tab/>
        <w:t xml:space="preserve">Jumpstart Our Business Startups Act, </w:t>
      </w:r>
      <w:r w:rsidRPr="00363BC9">
        <w:rPr>
          <w:rStyle w:val="FootnoteChar"/>
        </w:rPr>
        <w:t>Pub. L. No: 112-106</w:t>
      </w:r>
      <w:r w:rsidRPr="00363BC9">
        <w:t xml:space="preserve"> (2012) (the “</w:t>
      </w:r>
      <w:r w:rsidRPr="00363BC9">
        <w:rPr>
          <w:i/>
        </w:rPr>
        <w:t>JOBS Act</w:t>
      </w:r>
      <w:r w:rsidRPr="00363BC9">
        <w:t>”)</w:t>
      </w:r>
      <w:r>
        <w:t xml:space="preserve">; Gary W. Derrick, </w:t>
      </w:r>
      <w:r w:rsidRPr="00BF4277">
        <w:rPr>
          <w:i/>
        </w:rPr>
        <w:t>Recent Developments in Oklahoma Business and Corporate Law – 20</w:t>
      </w:r>
      <w:r>
        <w:rPr>
          <w:i/>
        </w:rPr>
        <w:t>12</w:t>
      </w:r>
      <w:r>
        <w:t>, OBA 2012 Recent Developments (Day Two).</w:t>
      </w:r>
    </w:p>
  </w:footnote>
  <w:footnote w:id="5">
    <w:p w:rsidR="00831F73" w:rsidRDefault="00831F73">
      <w:pPr>
        <w:pStyle w:val="FootnoteText"/>
      </w:pPr>
      <w:r>
        <w:rPr>
          <w:rStyle w:val="FootnoteReference"/>
        </w:rPr>
        <w:footnoteRef/>
      </w:r>
      <w:r>
        <w:t xml:space="preserve"> </w:t>
      </w:r>
      <w:r>
        <w:tab/>
      </w:r>
      <w:r w:rsidRPr="008335F7">
        <w:rPr>
          <w:i/>
        </w:rPr>
        <w:t>See</w:t>
      </w:r>
      <w:r>
        <w:t xml:space="preserve"> Title II, the JOBS Act.</w:t>
      </w:r>
    </w:p>
  </w:footnote>
  <w:footnote w:id="6">
    <w:p w:rsidR="00831F73" w:rsidRPr="00363BC9" w:rsidRDefault="00831F73" w:rsidP="005C3686">
      <w:pPr>
        <w:pStyle w:val="FootnoteText"/>
      </w:pPr>
      <w:r w:rsidRPr="00363BC9">
        <w:rPr>
          <w:rStyle w:val="FootnoteReference"/>
        </w:rPr>
        <w:footnoteRef/>
      </w:r>
      <w:r w:rsidRPr="00363BC9">
        <w:t xml:space="preserve"> </w:t>
      </w:r>
      <w:r w:rsidRPr="00363BC9">
        <w:tab/>
      </w:r>
      <w:r>
        <w:t xml:space="preserve">The statutory exemption is in </w:t>
      </w:r>
      <w:r w:rsidRPr="00363BC9">
        <w:t xml:space="preserve">Section 4(2) of the Securities Act, 15 U.S.C. </w:t>
      </w:r>
      <w:r w:rsidRPr="00363BC9">
        <w:rPr>
          <w:rFonts w:cs="Times New Roman"/>
        </w:rPr>
        <w:t>§</w:t>
      </w:r>
      <w:r w:rsidRPr="00363BC9">
        <w:t>77d</w:t>
      </w:r>
      <w:r>
        <w:t>, which was in the Securities Act at its adoption in 1933.  Over the years, the Securities and Exchange Commission has promulgated several rules under Section 4(2) for private offerings</w:t>
      </w:r>
      <w:r w:rsidRPr="00363BC9">
        <w:t xml:space="preserve">. </w:t>
      </w:r>
      <w:r>
        <w:t xml:space="preserve"> </w:t>
      </w:r>
      <w:r w:rsidRPr="00363BC9">
        <w:t>Rule 146(c), 17 C.F.R. §230.146</w:t>
      </w:r>
      <w:r>
        <w:t xml:space="preserve">, was adopted in </w:t>
      </w:r>
      <w:r w:rsidRPr="00363BC9">
        <w:t>1975</w:t>
      </w:r>
      <w:r>
        <w:t>.  It was replaced by Regulation D in 1985.  Regulation D comprises Rules 501 through 508</w:t>
      </w:r>
      <w:r w:rsidRPr="00363BC9">
        <w:rPr>
          <w:rFonts w:cs="Times New Roman"/>
          <w:shd w:val="clear" w:color="auto" w:fill="FFFFFF"/>
        </w:rPr>
        <w:t xml:space="preserve"> (17 C.F.R. §230.50</w:t>
      </w:r>
      <w:r>
        <w:rPr>
          <w:rFonts w:cs="Times New Roman"/>
          <w:shd w:val="clear" w:color="auto" w:fill="FFFFFF"/>
        </w:rPr>
        <w:t>1 - 508</w:t>
      </w:r>
      <w:r w:rsidRPr="00363BC9">
        <w:rPr>
          <w:rFonts w:cs="Times New Roman"/>
          <w:shd w:val="clear" w:color="auto" w:fill="FFFFFF"/>
        </w:rPr>
        <w:t>)</w:t>
      </w:r>
      <w:r>
        <w:t xml:space="preserve">, which implement three exemptions, the most commonly used of which is Rule 506. </w:t>
      </w:r>
    </w:p>
  </w:footnote>
  <w:footnote w:id="7">
    <w:p w:rsidR="00831F73" w:rsidRPr="00363BC9" w:rsidRDefault="00831F73" w:rsidP="005C3686">
      <w:pPr>
        <w:pStyle w:val="FootnoteText"/>
      </w:pPr>
      <w:r w:rsidRPr="00363BC9">
        <w:rPr>
          <w:rStyle w:val="FootnoteReference"/>
        </w:rPr>
        <w:footnoteRef/>
      </w:r>
      <w:r w:rsidRPr="00363BC9">
        <w:t xml:space="preserve"> </w:t>
      </w:r>
      <w:r w:rsidRPr="00363BC9">
        <w:tab/>
      </w:r>
      <w:r>
        <w:t xml:space="preserve">Under Section 4(2), the general solicitation prohibition was a matter of case law.  </w:t>
      </w:r>
      <w:r w:rsidRPr="00204646">
        <w:rPr>
          <w:i/>
        </w:rPr>
        <w:t>See</w:t>
      </w:r>
      <w:r>
        <w:t xml:space="preserve"> </w:t>
      </w:r>
      <w:r w:rsidRPr="00363BC9">
        <w:rPr>
          <w:i/>
        </w:rPr>
        <w:t>SEC v. Ralston  Purina Co</w:t>
      </w:r>
      <w:r w:rsidRPr="00363BC9">
        <w:t xml:space="preserve">., 346 U.S. 119 (1953); </w:t>
      </w:r>
      <w:r w:rsidRPr="00363BC9">
        <w:rPr>
          <w:i/>
        </w:rPr>
        <w:t>SEC v. Sunbeam Gold Mines Co</w:t>
      </w:r>
      <w:r w:rsidRPr="00363BC9">
        <w:t>., 95 F.2d 699 (9</w:t>
      </w:r>
      <w:r w:rsidRPr="00363BC9">
        <w:rPr>
          <w:vertAlign w:val="superscript"/>
        </w:rPr>
        <w:t>th</w:t>
      </w:r>
      <w:r w:rsidRPr="00363BC9">
        <w:t xml:space="preserve"> Cir. 1938) (private offerings under state securities laws prohibit broad solicitations)</w:t>
      </w:r>
      <w:r>
        <w:t xml:space="preserve">.  When the SEC later adopted rules, the rules maintained the prohibition.  </w:t>
      </w:r>
      <w:r w:rsidRPr="00204646">
        <w:rPr>
          <w:i/>
        </w:rPr>
        <w:t>See</w:t>
      </w:r>
      <w:r>
        <w:t xml:space="preserve"> </w:t>
      </w:r>
      <w:r w:rsidRPr="00363BC9">
        <w:t>Rule 146(c), 17 C.F.R. §230.146 (1975), as promulgated under the Securities Act</w:t>
      </w:r>
      <w:r>
        <w:t>,</w:t>
      </w:r>
      <w:r w:rsidRPr="00363BC9">
        <w:t xml:space="preserve"> and </w:t>
      </w:r>
      <w:r w:rsidRPr="00363BC9">
        <w:rPr>
          <w:rFonts w:cs="Times New Roman"/>
          <w:shd w:val="clear" w:color="auto" w:fill="FFFFFF"/>
        </w:rPr>
        <w:t xml:space="preserve">Rule 502(c) of Reg. D (17 C.F.R. §230.502).  </w:t>
      </w:r>
      <w:r w:rsidRPr="00363BC9">
        <w:rPr>
          <w:rFonts w:cs="Times New Roman"/>
          <w:i/>
          <w:shd w:val="clear" w:color="auto" w:fill="FFFFFF"/>
        </w:rPr>
        <w:t>See</w:t>
      </w:r>
      <w:r>
        <w:rPr>
          <w:rFonts w:cs="Times New Roman"/>
          <w:i/>
          <w:shd w:val="clear" w:color="auto" w:fill="FFFFFF"/>
        </w:rPr>
        <w:t xml:space="preserve"> also</w:t>
      </w:r>
      <w:r w:rsidRPr="00363BC9">
        <w:rPr>
          <w:rFonts w:cs="Times New Roman"/>
          <w:shd w:val="clear" w:color="auto" w:fill="FFFFFF"/>
        </w:rPr>
        <w:t xml:space="preserve"> 44 Fordham L.Rev. (1975).</w:t>
      </w:r>
      <w:r w:rsidRPr="00363BC9">
        <w:t xml:space="preserve"> </w:t>
      </w:r>
    </w:p>
  </w:footnote>
  <w:footnote w:id="8">
    <w:p w:rsidR="00831F73" w:rsidRPr="00363BC9" w:rsidRDefault="00831F73" w:rsidP="00A13A19">
      <w:pPr>
        <w:pStyle w:val="FootnoteText"/>
      </w:pPr>
      <w:r w:rsidRPr="00363BC9">
        <w:rPr>
          <w:rStyle w:val="FootnoteReference"/>
        </w:rPr>
        <w:footnoteRef/>
      </w:r>
      <w:r w:rsidRPr="00363BC9">
        <w:t xml:space="preserve"> </w:t>
      </w:r>
      <w:r w:rsidRPr="00363BC9">
        <w:tab/>
        <w:t>Rule 506(b)(1)</w:t>
      </w:r>
      <w:r w:rsidRPr="00363BC9">
        <w:rPr>
          <w:rFonts w:cs="Times New Roman"/>
          <w:shd w:val="clear" w:color="auto" w:fill="FFFFFF"/>
        </w:rPr>
        <w:t>, 17 C.F.R. §230.506(b)(1),</w:t>
      </w:r>
      <w:r w:rsidRPr="00363BC9">
        <w:t xml:space="preserve"> applies the general solicitation prohibition of Rule</w:t>
      </w:r>
      <w:r>
        <w:t> </w:t>
      </w:r>
      <w:r w:rsidRPr="00363BC9">
        <w:t>502(c)</w:t>
      </w:r>
      <w:r w:rsidRPr="00363BC9">
        <w:rPr>
          <w:rFonts w:cs="Times New Roman"/>
          <w:shd w:val="clear" w:color="auto" w:fill="FFFFFF"/>
        </w:rPr>
        <w:t>, 17 C.F.R. §230.502(c)</w:t>
      </w:r>
      <w:r w:rsidRPr="00363BC9">
        <w:t xml:space="preserve">.  </w:t>
      </w:r>
    </w:p>
  </w:footnote>
  <w:footnote w:id="9">
    <w:p w:rsidR="00831F73" w:rsidRDefault="00831F73">
      <w:pPr>
        <w:pStyle w:val="FootnoteText"/>
      </w:pPr>
      <w:r>
        <w:rPr>
          <w:rStyle w:val="FootnoteReference"/>
        </w:rPr>
        <w:footnoteRef/>
      </w:r>
      <w:r>
        <w:t xml:space="preserve"> </w:t>
      </w:r>
      <w:r>
        <w:tab/>
        <w:t xml:space="preserve">The revised Rule 506 will offer alternative exemptions:  one under Rule 506(b), which remains unchanged, and a new one under Rule 506(c), which does not prohibit general solicitation.  </w:t>
      </w:r>
      <w:r w:rsidRPr="00363BC9">
        <w:rPr>
          <w:rFonts w:cs="Times New Roman"/>
          <w:shd w:val="clear" w:color="auto" w:fill="FFFFFF"/>
        </w:rPr>
        <w:t>17 C.F.R. §230.506</w:t>
      </w:r>
      <w:r>
        <w:rPr>
          <w:rFonts w:cs="Times New Roman"/>
          <w:shd w:val="clear" w:color="auto" w:fill="FFFFFF"/>
        </w:rPr>
        <w:t>(b) and (c).</w:t>
      </w:r>
    </w:p>
  </w:footnote>
  <w:footnote w:id="10">
    <w:p w:rsidR="00831F73" w:rsidRDefault="00831F73" w:rsidP="00C20E8F">
      <w:pPr>
        <w:pStyle w:val="FootnoteText"/>
      </w:pPr>
      <w:r>
        <w:rPr>
          <w:rStyle w:val="FootnoteReference"/>
        </w:rPr>
        <w:footnoteRef/>
      </w:r>
      <w:r>
        <w:t xml:space="preserve"> </w:t>
      </w:r>
      <w:r>
        <w:tab/>
      </w:r>
      <w:r w:rsidRPr="00920692">
        <w:rPr>
          <w:i/>
        </w:rPr>
        <w:t>Eliminating the Prohibition Against General Solicitation and General Advertising in Rule 506 and Rule 144A Offerings</w:t>
      </w:r>
      <w:r w:rsidRPr="00920692">
        <w:t>, Release No. 33-9415 (July 10, 2013) (</w:t>
      </w:r>
      <w:r>
        <w:t>“</w:t>
      </w:r>
      <w:r w:rsidRPr="006F4416">
        <w:rPr>
          <w:i/>
        </w:rPr>
        <w:t>General Solicitation Adopting Release</w:t>
      </w:r>
      <w:r>
        <w:t>”</w:t>
      </w:r>
      <w:r w:rsidRPr="00920692">
        <w:t xml:space="preserve">).  </w:t>
      </w:r>
      <w:r w:rsidRPr="00920692">
        <w:rPr>
          <w:i/>
        </w:rPr>
        <w:t>See also</w:t>
      </w:r>
      <w:r w:rsidRPr="00920692">
        <w:t xml:space="preserve">, </w:t>
      </w:r>
      <w:r w:rsidRPr="00920692">
        <w:rPr>
          <w:i/>
        </w:rPr>
        <w:t>Amendments to Regulation D, Form D and Rule 156</w:t>
      </w:r>
      <w:r w:rsidRPr="00920692">
        <w:t xml:space="preserve">, Release No. 33-9416 (July 10, 2013).  </w:t>
      </w:r>
    </w:p>
  </w:footnote>
  <w:footnote w:id="11">
    <w:p w:rsidR="00831F73" w:rsidRDefault="00831F73">
      <w:pPr>
        <w:pStyle w:val="FootnoteText"/>
      </w:pPr>
      <w:r>
        <w:rPr>
          <w:rStyle w:val="FootnoteReference"/>
        </w:rPr>
        <w:footnoteRef/>
      </w:r>
      <w:r>
        <w:t xml:space="preserve"> </w:t>
      </w:r>
      <w:r>
        <w:tab/>
        <w:t>See Rule 502(a)</w:t>
      </w:r>
      <w:r w:rsidRPr="00DE68E5">
        <w:rPr>
          <w:rFonts w:cs="Times New Roman"/>
          <w:shd w:val="clear" w:color="auto" w:fill="FFFFFF"/>
        </w:rPr>
        <w:t xml:space="preserve"> </w:t>
      </w:r>
      <w:r w:rsidRPr="00363BC9">
        <w:rPr>
          <w:rFonts w:cs="Times New Roman"/>
          <w:shd w:val="clear" w:color="auto" w:fill="FFFFFF"/>
        </w:rPr>
        <w:t>, 17 C.F.R. §230.501</w:t>
      </w:r>
      <w:r>
        <w:t xml:space="preserve">. </w:t>
      </w:r>
    </w:p>
  </w:footnote>
  <w:footnote w:id="12">
    <w:p w:rsidR="00831F73" w:rsidRDefault="00831F73">
      <w:pPr>
        <w:pStyle w:val="FootnoteText"/>
      </w:pPr>
      <w:r>
        <w:rPr>
          <w:rStyle w:val="FootnoteReference"/>
        </w:rPr>
        <w:footnoteRef/>
      </w:r>
      <w:r>
        <w:t xml:space="preserve"> </w:t>
      </w:r>
      <w:r>
        <w:tab/>
      </w:r>
      <w:r w:rsidRPr="00920692">
        <w:t>General Solicitation Adopting Release</w:t>
      </w:r>
      <w:r>
        <w:t xml:space="preserve"> at 26-44.</w:t>
      </w:r>
    </w:p>
  </w:footnote>
  <w:footnote w:id="13">
    <w:p w:rsidR="00831F73" w:rsidRDefault="00831F73">
      <w:pPr>
        <w:pStyle w:val="FootnoteText"/>
      </w:pPr>
      <w:r>
        <w:rPr>
          <w:rStyle w:val="FootnoteReference"/>
        </w:rPr>
        <w:footnoteRef/>
      </w:r>
      <w:r>
        <w:t xml:space="preserve"> </w:t>
      </w:r>
      <w:r>
        <w:tab/>
        <w:t>Securities sold under Rule 506 are one of several categories of “</w:t>
      </w:r>
      <w:r>
        <w:rPr>
          <w:rFonts w:eastAsia="Times New Roman"/>
        </w:rPr>
        <w:t>covered securities” under the National Securities Markets Improvement Act of 1996,</w:t>
      </w:r>
      <w:r w:rsidRPr="00A35F63">
        <w:rPr>
          <w:rStyle w:val="FootnoteChar"/>
        </w:rPr>
        <w:t xml:space="preserve"> </w:t>
      </w:r>
      <w:r w:rsidRPr="00363BC9">
        <w:rPr>
          <w:rStyle w:val="FootnoteChar"/>
        </w:rPr>
        <w:t>Pub. L. No: 1</w:t>
      </w:r>
      <w:r>
        <w:rPr>
          <w:rStyle w:val="FootnoteChar"/>
        </w:rPr>
        <w:t>04-290</w:t>
      </w:r>
      <w:r w:rsidRPr="00363BC9">
        <w:t xml:space="preserve"> (</w:t>
      </w:r>
      <w:r>
        <w:t>1996</w:t>
      </w:r>
      <w:r w:rsidRPr="00363BC9">
        <w:t>)</w:t>
      </w:r>
      <w:r>
        <w:rPr>
          <w:rFonts w:eastAsia="Times New Roman"/>
        </w:rPr>
        <w:t xml:space="preserve"> (“</w:t>
      </w:r>
      <w:r w:rsidRPr="006F4416">
        <w:rPr>
          <w:rFonts w:eastAsia="Times New Roman"/>
          <w:i/>
        </w:rPr>
        <w:t>NSMIA</w:t>
      </w:r>
      <w:r>
        <w:rPr>
          <w:rFonts w:eastAsia="Times New Roman"/>
        </w:rPr>
        <w:t xml:space="preserve">”), which preempts state registration and review.  </w:t>
      </w:r>
      <w:r>
        <w:t xml:space="preserve">The states can, however, require a notice filing for use of the Rule 506 exemption and payment of fees. </w:t>
      </w:r>
      <w:r>
        <w:rPr>
          <w:rFonts w:eastAsia="Times New Roman"/>
        </w:rPr>
        <w:t xml:space="preserve"> The NSMIA preemption does not extend to broker-dealers dealing in covered securities.  Thus, if </w:t>
      </w:r>
      <w:r>
        <w:t xml:space="preserve">an issuer is using general solicitation and selling through a broker-dealer, the broker-dealer may be subject to general solicitation restrictions.  </w:t>
      </w:r>
    </w:p>
  </w:footnote>
  <w:footnote w:id="14">
    <w:p w:rsidR="00831F73" w:rsidRPr="00363BC9" w:rsidRDefault="00831F73">
      <w:pPr>
        <w:pStyle w:val="FootnoteText"/>
      </w:pPr>
      <w:r w:rsidRPr="00363BC9">
        <w:rPr>
          <w:rStyle w:val="FootnoteReference"/>
        </w:rPr>
        <w:footnoteRef/>
      </w:r>
      <w:r w:rsidRPr="00363BC9">
        <w:t xml:space="preserve"> </w:t>
      </w:r>
      <w:r w:rsidRPr="00363BC9">
        <w:tab/>
      </w:r>
      <w:r w:rsidRPr="00D22357">
        <w:rPr>
          <w:i/>
        </w:rPr>
        <w:t>See</w:t>
      </w:r>
      <w:r>
        <w:t xml:space="preserve"> Title III, the </w:t>
      </w:r>
      <w:r w:rsidRPr="00C73D9C">
        <w:t>JOBS Act</w:t>
      </w:r>
      <w:r>
        <w:t>.</w:t>
      </w:r>
    </w:p>
  </w:footnote>
  <w:footnote w:id="15">
    <w:p w:rsidR="00831F73" w:rsidRPr="00363BC9" w:rsidRDefault="00831F73">
      <w:pPr>
        <w:pStyle w:val="FootnoteText"/>
      </w:pPr>
      <w:r w:rsidRPr="00363BC9">
        <w:rPr>
          <w:rStyle w:val="FootnoteReference"/>
        </w:rPr>
        <w:footnoteRef/>
      </w:r>
      <w:r w:rsidRPr="00363BC9">
        <w:t xml:space="preserve"> </w:t>
      </w:r>
      <w:r w:rsidRPr="00363BC9">
        <w:tab/>
        <w:t xml:space="preserve">At </w:t>
      </w:r>
      <w:hyperlink r:id="rId4" w:history="1">
        <w:r w:rsidRPr="00363BC9">
          <w:rPr>
            <w:rStyle w:val="Hyperlink"/>
            <w:color w:val="auto"/>
          </w:rPr>
          <w:t>http://www.kickstarter.com/</w:t>
        </w:r>
      </w:hyperlink>
      <w:r w:rsidRPr="00363BC9">
        <w:t xml:space="preserve">. </w:t>
      </w:r>
    </w:p>
  </w:footnote>
  <w:footnote w:id="16">
    <w:p w:rsidR="00831F73" w:rsidRPr="00363BC9" w:rsidRDefault="00831F73">
      <w:pPr>
        <w:pStyle w:val="FootnoteText"/>
      </w:pPr>
      <w:r w:rsidRPr="00363BC9">
        <w:rPr>
          <w:rStyle w:val="FootnoteReference"/>
        </w:rPr>
        <w:footnoteRef/>
      </w:r>
      <w:r w:rsidRPr="00363BC9">
        <w:t xml:space="preserve"> </w:t>
      </w:r>
      <w:r w:rsidRPr="00363BC9">
        <w:tab/>
        <w:t xml:space="preserve">Nearly three million contributors have donated a total of $300 million to fund 30,000 projects on Kickstarter.  Jenna Wortham, </w:t>
      </w:r>
      <w:r w:rsidRPr="00363BC9">
        <w:rPr>
          <w:i/>
        </w:rPr>
        <w:t>Success of Crowdfunding Puts Pressure on Entrepreneurs</w:t>
      </w:r>
      <w:r w:rsidRPr="00363BC9">
        <w:t xml:space="preserve">, N.Y. Times (Sept. 17, 2012).  The contributors to </w:t>
      </w:r>
      <w:r>
        <w:t xml:space="preserve">a </w:t>
      </w:r>
      <w:r w:rsidRPr="00363BC9">
        <w:t xml:space="preserve">Kickstarter project do not receive a financial interest in the project, which avoids the securities laws since no security is sold.  The new JOBS Act provisions would permit the receipt of a financial interest.  </w:t>
      </w:r>
    </w:p>
  </w:footnote>
  <w:footnote w:id="17">
    <w:p w:rsidR="00831F73" w:rsidRPr="00363BC9" w:rsidRDefault="00831F73">
      <w:pPr>
        <w:pStyle w:val="FootnoteText"/>
      </w:pPr>
      <w:r w:rsidRPr="00363BC9">
        <w:rPr>
          <w:rStyle w:val="FootnoteReference"/>
        </w:rPr>
        <w:footnoteRef/>
      </w:r>
      <w:r w:rsidRPr="00363BC9">
        <w:t xml:space="preserve"> </w:t>
      </w:r>
      <w:r w:rsidRPr="00363BC9">
        <w:tab/>
        <w:t>The broker registration issue was explored by SharesPost, Inc., which provided a platform for the secondary trading of shares in private, pre-IPO companies, such as Facebook, Groupon and LinkedIn.  SharesPost claimed it was merely a “passive bulletin board” and was not a “broker” “engaged in the business” of effecting securities transactions, as defined under Section 4(A) of the Securities Exchange Act of 1934,</w:t>
      </w:r>
      <w:r w:rsidRPr="00363BC9">
        <w:rPr>
          <w:rFonts w:cs="Times New Roman"/>
        </w:rPr>
        <w:t xml:space="preserve"> </w:t>
      </w:r>
      <w:r w:rsidRPr="00363BC9">
        <w:rPr>
          <w:rFonts w:cs="Times New Roman"/>
          <w:shd w:val="clear" w:color="auto" w:fill="FFFFFF"/>
        </w:rPr>
        <w:t>15 USC §§78a-77kk</w:t>
      </w:r>
      <w:r w:rsidRPr="00363BC9">
        <w:t xml:space="preserve">.  Because SharesPost was receiving transaction-based compensation, providing investment advice, and facilitating pricing through an auction process, the Securities and Exchange Commission disagreed and forced SharesPost to register under threat of enforcement action.  </w:t>
      </w:r>
      <w:r w:rsidRPr="00363BC9">
        <w:rPr>
          <w:i/>
        </w:rPr>
        <w:t>See</w:t>
      </w:r>
      <w:r w:rsidRPr="00363BC9">
        <w:t xml:space="preserve"> SEC Rel. No. 2012-43 (March 14, 2012) (SEC Announces Charges from Investigation of Secondary Market Trading of Private Company Shares).  </w:t>
      </w:r>
    </w:p>
  </w:footnote>
  <w:footnote w:id="18">
    <w:p w:rsidR="00831F73" w:rsidRDefault="00831F73">
      <w:pPr>
        <w:pStyle w:val="FootnoteText"/>
      </w:pPr>
      <w:r>
        <w:rPr>
          <w:rStyle w:val="FootnoteReference"/>
        </w:rPr>
        <w:footnoteRef/>
      </w:r>
      <w:r>
        <w:t xml:space="preserve"> </w:t>
      </w:r>
      <w:r>
        <w:tab/>
        <w:t xml:space="preserve">Title III, the JOBS Act, </w:t>
      </w:r>
      <w:r w:rsidRPr="009030B5">
        <w:rPr>
          <w:i/>
        </w:rPr>
        <w:t>supra</w:t>
      </w:r>
      <w:r>
        <w:t>.</w:t>
      </w:r>
    </w:p>
  </w:footnote>
  <w:footnote w:id="19">
    <w:p w:rsidR="00831F73" w:rsidRDefault="00831F73" w:rsidP="00737E20">
      <w:pPr>
        <w:pStyle w:val="FootnoteText"/>
      </w:pPr>
      <w:r>
        <w:rPr>
          <w:rStyle w:val="FootnoteReference"/>
        </w:rPr>
        <w:footnoteRef/>
      </w:r>
      <w:r>
        <w:t xml:space="preserve"> </w:t>
      </w:r>
      <w:r>
        <w:tab/>
        <w:t>FINRA Reg. Notice 13-34 (Oct. 2013)</w:t>
      </w:r>
    </w:p>
  </w:footnote>
  <w:footnote w:id="20">
    <w:p w:rsidR="00831F73" w:rsidRDefault="00831F73">
      <w:pPr>
        <w:pStyle w:val="FootnoteText"/>
      </w:pPr>
      <w:r>
        <w:rPr>
          <w:rStyle w:val="FootnoteReference"/>
        </w:rPr>
        <w:footnoteRef/>
      </w:r>
      <w:r>
        <w:t xml:space="preserve"> </w:t>
      </w:r>
      <w:r>
        <w:tab/>
      </w:r>
      <w:r w:rsidR="0001183A">
        <w:t>Great Britain</w:t>
      </w:r>
      <w:r>
        <w:t xml:space="preserve"> permit</w:t>
      </w:r>
      <w:r w:rsidR="0001183A">
        <w:t>s</w:t>
      </w:r>
      <w:r>
        <w:t xml:space="preserve"> crowdfunding </w:t>
      </w:r>
      <w:r w:rsidR="0001183A">
        <w:t xml:space="preserve">and the technique, while still new, is further developed.  </w:t>
      </w:r>
      <w:r w:rsidR="0001183A" w:rsidRPr="0001183A">
        <w:rPr>
          <w:i/>
        </w:rPr>
        <w:t>See</w:t>
      </w:r>
      <w:r w:rsidR="0001183A">
        <w:t xml:space="preserve"> “Cream of Devon”, </w:t>
      </w:r>
      <w:r w:rsidR="0001183A" w:rsidRPr="0001183A">
        <w:rPr>
          <w:i/>
        </w:rPr>
        <w:t>The Economist</w:t>
      </w:r>
      <w:r w:rsidR="0001183A">
        <w:t xml:space="preserve"> (Nov. 2, 2013). </w:t>
      </w:r>
    </w:p>
  </w:footnote>
  <w:footnote w:id="21">
    <w:p w:rsidR="00831F73" w:rsidRDefault="00831F73" w:rsidP="0052089C">
      <w:pPr>
        <w:pStyle w:val="FootnoteText"/>
      </w:pPr>
      <w:r>
        <w:rPr>
          <w:rStyle w:val="FootnoteReference"/>
        </w:rPr>
        <w:footnoteRef/>
      </w:r>
      <w:r>
        <w:t xml:space="preserve"> </w:t>
      </w:r>
      <w:r>
        <w:tab/>
        <w:t xml:space="preserve">The Delaware law and its courts are viewed as the preeminent source of U.S. corporate law.  Delaware corporations represent 64% of the Fortune 500 companies and more than 50% of all U.S. publicly traded companies.  Dennis J. Block at al., </w:t>
      </w:r>
      <w:r>
        <w:rPr>
          <w:i/>
          <w:iCs/>
        </w:rPr>
        <w:t>The Business Judgment Rule: Fiduciary Duties of Corporate Directors</w:t>
      </w:r>
      <w:r>
        <w:t xml:space="preserve"> 3 (5</w:t>
      </w:r>
      <w:r w:rsidRPr="00031A75">
        <w:rPr>
          <w:vertAlign w:val="superscript"/>
        </w:rPr>
        <w:t>th</w:t>
      </w:r>
      <w:r>
        <w:t xml:space="preserve"> Ed. 1998 and Supp. 2000); Delaware Division of Corporations, 2012 Annual Report (available at </w:t>
      </w:r>
      <w:hyperlink r:id="rId5" w:history="1">
        <w:r w:rsidRPr="0073267E">
          <w:rPr>
            <w:rStyle w:val="Hyperlink"/>
          </w:rPr>
          <w:t>http://corp.delaware.gov/pdfs/2012 CorpAR.pdf</w:t>
        </w:r>
      </w:hyperlink>
      <w:r>
        <w:t>).  Much of the Delaware status comes from the expertise of the Delaware courts in resolving corporate disputes.  The Delaware court statistics reflect the concentration of corporate and commercial cases.  From 2008 through 2012, an average of 957 civil cases were filed annually with the Delaware Court of Chancery, which disposed of an average of 1,019 civil cases annually during the period.  The Court of Chancery is a specialized court dealing with matters involving corporate and commercial issues and trusts and estates.  The civil cases statistics exclude trusts and estates matters.  See Delaware State Courts, Administrative Office of the Courts, Publications and Statistics,</w:t>
      </w:r>
      <w:r w:rsidRPr="00CB7FF8">
        <w:t xml:space="preserve"> </w:t>
      </w:r>
      <w:r>
        <w:t xml:space="preserve">Annual Reports (available at </w:t>
      </w:r>
      <w:hyperlink w:history="1">
        <w:r w:rsidRPr="00E2741F">
          <w:rPr>
            <w:rStyle w:val="Hyperlink"/>
          </w:rPr>
          <w:t>http://courts.state.de. us/AOC/publications.stm</w:t>
        </w:r>
      </w:hyperlink>
      <w:r>
        <w:t>).</w:t>
      </w:r>
    </w:p>
  </w:footnote>
  <w:footnote w:id="22">
    <w:p w:rsidR="00831F73" w:rsidRDefault="00831F73">
      <w:pPr>
        <w:pStyle w:val="FootnoteText"/>
      </w:pPr>
      <w:r>
        <w:rPr>
          <w:rStyle w:val="FootnoteReference"/>
        </w:rPr>
        <w:footnoteRef/>
      </w:r>
      <w:r>
        <w:t xml:space="preserve"> </w:t>
      </w:r>
      <w:r>
        <w:tab/>
      </w:r>
      <w:r w:rsidRPr="0047187B">
        <w:rPr>
          <w:rFonts w:eastAsia="Times New Roman"/>
          <w:bCs/>
          <w:i/>
          <w:iCs/>
        </w:rPr>
        <w:t>Feeley v. NHAOCG, LLC</w:t>
      </w:r>
      <w:r w:rsidRPr="0047187B">
        <w:rPr>
          <w:rFonts w:eastAsia="Times New Roman"/>
          <w:bCs/>
          <w:iCs/>
        </w:rPr>
        <w:t>, 62 A.3d 649 (Del. Ch. 2012) (V.C. Laster)</w:t>
      </w:r>
      <w:r>
        <w:rPr>
          <w:rFonts w:eastAsia="Times New Roman"/>
          <w:bCs/>
          <w:iCs/>
        </w:rPr>
        <w:t xml:space="preserve"> (issued three weeks after Chief Justice Steele’s admonition in </w:t>
      </w:r>
      <w:r w:rsidRPr="0047187B">
        <w:rPr>
          <w:rFonts w:eastAsia="Times New Roman"/>
          <w:bCs/>
          <w:i/>
          <w:iCs/>
        </w:rPr>
        <w:t>Gatz</w:t>
      </w:r>
      <w:r>
        <w:rPr>
          <w:rFonts w:eastAsia="Times New Roman"/>
          <w:bCs/>
          <w:iCs/>
        </w:rPr>
        <w:t>)</w:t>
      </w:r>
      <w:r w:rsidRPr="0047187B">
        <w:rPr>
          <w:rFonts w:eastAsia="Times New Roman"/>
          <w:bCs/>
          <w:iCs/>
        </w:rPr>
        <w:t>;</w:t>
      </w:r>
      <w:r w:rsidRPr="0047187B">
        <w:rPr>
          <w:rFonts w:eastAsia="Times New Roman"/>
          <w:bCs/>
          <w:i/>
          <w:iCs/>
        </w:rPr>
        <w:t xml:space="preserve"> </w:t>
      </w:r>
      <w:r w:rsidRPr="0037475D">
        <w:rPr>
          <w:rFonts w:eastAsia="Times New Roman"/>
          <w:bCs/>
          <w:i/>
          <w:iCs/>
        </w:rPr>
        <w:t>Auriga Capital Corp. v. Gatz Properties, LLC</w:t>
      </w:r>
      <w:r w:rsidRPr="0037475D">
        <w:rPr>
          <w:rFonts w:eastAsia="Times New Roman"/>
          <w:bCs/>
          <w:iCs/>
        </w:rPr>
        <w:t>, 40 A.3d 839 (Del. Ch. 2012) (C. Strine);</w:t>
      </w:r>
      <w:r w:rsidRPr="0037475D">
        <w:rPr>
          <w:rFonts w:eastAsia="Times New Roman"/>
          <w:bCs/>
          <w:i/>
          <w:iCs/>
        </w:rPr>
        <w:t xml:space="preserve"> </w:t>
      </w:r>
      <w:r w:rsidRPr="00EF008B">
        <w:rPr>
          <w:rFonts w:eastAsia="Times New Roman"/>
          <w:bCs/>
          <w:i/>
          <w:iCs/>
        </w:rPr>
        <w:t>Paige Capital Management LLC v. Lerner Master Fund LLC</w:t>
      </w:r>
      <w:r w:rsidRPr="00EF008B">
        <w:rPr>
          <w:rFonts w:eastAsia="Times New Roman"/>
          <w:bCs/>
          <w:iCs/>
        </w:rPr>
        <w:t xml:space="preserve">, 2011 WL 3505355 (Del. Ch. Aug. 8, 2011) (C. Strine) </w:t>
      </w:r>
      <w:r w:rsidRPr="00EF008B">
        <w:rPr>
          <w:rFonts w:eastAsia="Times New Roman"/>
          <w:bCs/>
          <w:i/>
          <w:iCs/>
        </w:rPr>
        <w:t>In re Atlas Energy Resources, LLC</w:t>
      </w:r>
      <w:r w:rsidRPr="00EF008B">
        <w:rPr>
          <w:rFonts w:eastAsia="Times New Roman"/>
          <w:bCs/>
          <w:iCs/>
        </w:rPr>
        <w:t xml:space="preserve">, 2010 WL 4273122 (Del. Ch. Oct. 28, 2010) (V.C. Noble); </w:t>
      </w:r>
      <w:r w:rsidRPr="00EF008B">
        <w:rPr>
          <w:rFonts w:eastAsia="Times New Roman"/>
          <w:bCs/>
          <w:i/>
          <w:iCs/>
        </w:rPr>
        <w:t>Kelly v. Blum</w:t>
      </w:r>
      <w:r w:rsidRPr="00EF008B">
        <w:rPr>
          <w:rFonts w:eastAsia="Times New Roman"/>
          <w:bCs/>
          <w:iCs/>
        </w:rPr>
        <w:t xml:space="preserve">, 2010 WL 629850 (Del. Ch. Feb. 24, 2010) (V.C. Parsons); </w:t>
      </w:r>
      <w:r w:rsidRPr="00EF008B">
        <w:rPr>
          <w:rFonts w:eastAsia="Times New Roman"/>
          <w:bCs/>
          <w:i/>
          <w:iCs/>
        </w:rPr>
        <w:t>Bay Center Apartments v. Emery Bay PKI, LLC</w:t>
      </w:r>
      <w:r w:rsidRPr="00EF008B">
        <w:rPr>
          <w:rFonts w:eastAsia="Times New Roman"/>
          <w:bCs/>
        </w:rPr>
        <w:t xml:space="preserve">, 2009 WL 1124451 (Del. Ch. Apr. 20, 2009) (V.C. Strine); </w:t>
      </w:r>
      <w:r w:rsidRPr="00EF008B">
        <w:rPr>
          <w:rFonts w:eastAsia="Times New Roman"/>
          <w:bCs/>
          <w:i/>
          <w:iCs/>
        </w:rPr>
        <w:t>Fisk Ventures, LLC v. Segal</w:t>
      </w:r>
      <w:r w:rsidRPr="00EF008B">
        <w:rPr>
          <w:rFonts w:eastAsia="Times New Roman"/>
          <w:bCs/>
        </w:rPr>
        <w:t>, 2008 WL 1961156 (Del. Ch. May 7, 2008) (C. Chandler)</w:t>
      </w:r>
      <w:r>
        <w:rPr>
          <w:rFonts w:eastAsia="Times New Roman"/>
          <w:bCs/>
        </w:rPr>
        <w:t>.</w:t>
      </w:r>
    </w:p>
  </w:footnote>
  <w:footnote w:id="23">
    <w:p w:rsidR="00831F73" w:rsidRDefault="00831F73" w:rsidP="001C66AD">
      <w:pPr>
        <w:pStyle w:val="FootnoteText"/>
      </w:pPr>
      <w:r>
        <w:rPr>
          <w:rStyle w:val="FootnoteReference"/>
        </w:rPr>
        <w:footnoteRef/>
      </w:r>
      <w:r>
        <w:t xml:space="preserve"> </w:t>
      </w:r>
      <w:r>
        <w:tab/>
      </w:r>
      <w:r>
        <w:rPr>
          <w:rFonts w:eastAsia="Times New Roman"/>
          <w:bCs/>
        </w:rPr>
        <w:t xml:space="preserve">Myron Steele, </w:t>
      </w:r>
      <w:r w:rsidRPr="00EF008B">
        <w:rPr>
          <w:rFonts w:eastAsia="Times New Roman"/>
          <w:bCs/>
          <w:i/>
          <w:iCs/>
        </w:rPr>
        <w:t>Freedom of Contract and Default Contractual Duties in the Delaware Limited Partnerships and Limited Liability Companies</w:t>
      </w:r>
      <w:r w:rsidRPr="00EF008B">
        <w:rPr>
          <w:rFonts w:eastAsia="Times New Roman"/>
          <w:bCs/>
        </w:rPr>
        <w:t>, 46 Am. Bus. L.J. 221 (2009)</w:t>
      </w:r>
      <w:r w:rsidR="00F11640">
        <w:rPr>
          <w:rFonts w:eastAsia="Times New Roman"/>
          <w:bCs/>
        </w:rPr>
        <w:t>.</w:t>
      </w:r>
    </w:p>
  </w:footnote>
  <w:footnote w:id="24">
    <w:p w:rsidR="00831F73" w:rsidRDefault="00831F73">
      <w:pPr>
        <w:pStyle w:val="FootnoteText"/>
      </w:pPr>
      <w:r>
        <w:rPr>
          <w:rStyle w:val="FootnoteReference"/>
        </w:rPr>
        <w:footnoteRef/>
      </w:r>
      <w:r>
        <w:t xml:space="preserve"> </w:t>
      </w:r>
      <w:r>
        <w:tab/>
      </w:r>
      <w:r w:rsidRPr="00884F47">
        <w:rPr>
          <w:rFonts w:eastAsia="Times New Roman"/>
          <w:bCs/>
          <w:i/>
          <w:iCs/>
        </w:rPr>
        <w:t>Gatz Properties, LLC v. Auriga Capital Corp.</w:t>
      </w:r>
      <w:r w:rsidRPr="00884F47">
        <w:rPr>
          <w:rFonts w:eastAsia="Times New Roman"/>
          <w:bCs/>
        </w:rPr>
        <w:t>, 59 A.3d 1206 (Del. Nov. 7, 2012) (Per Curiam)</w:t>
      </w:r>
      <w:r>
        <w:rPr>
          <w:rFonts w:eastAsia="Times New Roman"/>
          <w:bCs/>
        </w:rPr>
        <w:t xml:space="preserve"> (Chief Justice Steele admonishe</w:t>
      </w:r>
      <w:r w:rsidR="00FF568D">
        <w:rPr>
          <w:rFonts w:eastAsia="Times New Roman"/>
          <w:bCs/>
        </w:rPr>
        <w:t>d</w:t>
      </w:r>
      <w:r>
        <w:rPr>
          <w:rFonts w:eastAsia="Times New Roman"/>
          <w:bCs/>
        </w:rPr>
        <w:t xml:space="preserve"> the Chancery Court for addressing the default fiduciary duty issue since, among other reasons, the parties had not asked the court to address the issue and the issue was not before the court)</w:t>
      </w:r>
      <w:r>
        <w:rPr>
          <w:rFonts w:eastAsia="Times New Roman"/>
          <w:bCs/>
          <w:iCs/>
        </w:rPr>
        <w:t xml:space="preserve">.  </w:t>
      </w:r>
      <w:r w:rsidRPr="00014D57">
        <w:rPr>
          <w:rFonts w:eastAsia="Times New Roman"/>
          <w:bCs/>
          <w:i/>
          <w:iCs/>
        </w:rPr>
        <w:t>See also</w:t>
      </w:r>
      <w:r w:rsidRPr="00EF008B">
        <w:rPr>
          <w:rFonts w:eastAsia="Times New Roman"/>
          <w:bCs/>
        </w:rPr>
        <w:t xml:space="preserve"> </w:t>
      </w:r>
      <w:r w:rsidRPr="00EF008B">
        <w:rPr>
          <w:rFonts w:eastAsia="Times New Roman"/>
          <w:bCs/>
          <w:i/>
          <w:iCs/>
        </w:rPr>
        <w:t>William Penn Partnership v. Saliba</w:t>
      </w:r>
      <w:r w:rsidRPr="00EF008B">
        <w:rPr>
          <w:rFonts w:eastAsia="Times New Roman"/>
          <w:bCs/>
        </w:rPr>
        <w:t>, 13 A.3d 749 (Del. 2011)</w:t>
      </w:r>
      <w:r>
        <w:rPr>
          <w:rFonts w:eastAsia="Times New Roman"/>
          <w:bCs/>
        </w:rPr>
        <w:t xml:space="preserve">. </w:t>
      </w:r>
    </w:p>
  </w:footnote>
  <w:footnote w:id="25">
    <w:p w:rsidR="00831F73" w:rsidRDefault="00831F73">
      <w:pPr>
        <w:pStyle w:val="FootnoteText"/>
      </w:pPr>
      <w:r>
        <w:rPr>
          <w:rStyle w:val="FootnoteReference"/>
        </w:rPr>
        <w:footnoteRef/>
      </w:r>
      <w:r>
        <w:t xml:space="preserve"> </w:t>
      </w:r>
      <w:r>
        <w:tab/>
      </w:r>
      <w:r>
        <w:rPr>
          <w:szCs w:val="24"/>
        </w:rPr>
        <w:t xml:space="preserve">Section 18-1104 of the LLC Act was amended to read:  “In any case not provided for in this chapter, the </w:t>
      </w:r>
      <w:r w:rsidRPr="00801469">
        <w:rPr>
          <w:szCs w:val="24"/>
        </w:rPr>
        <w:t xml:space="preserve">rules of law and equity, including </w:t>
      </w:r>
      <w:r w:rsidRPr="00A31020">
        <w:rPr>
          <w:szCs w:val="24"/>
          <w:u w:val="single"/>
        </w:rPr>
        <w:t>the</w:t>
      </w:r>
      <w:r w:rsidRPr="00801469">
        <w:rPr>
          <w:szCs w:val="24"/>
          <w:u w:val="single"/>
        </w:rPr>
        <w:t xml:space="preserve"> rules of law and equity relating to fiduciary duties and</w:t>
      </w:r>
      <w:r>
        <w:rPr>
          <w:szCs w:val="24"/>
        </w:rPr>
        <w:t xml:space="preserve"> the law merchant, shall govern (added language is underscored).”</w:t>
      </w:r>
    </w:p>
  </w:footnote>
  <w:footnote w:id="26">
    <w:p w:rsidR="00831F73" w:rsidRDefault="00831F73" w:rsidP="001617BF">
      <w:pPr>
        <w:pStyle w:val="FootnoteText"/>
      </w:pPr>
      <w:r>
        <w:rPr>
          <w:rStyle w:val="FootnoteReference"/>
        </w:rPr>
        <w:footnoteRef/>
      </w:r>
      <w:r>
        <w:t xml:space="preserve"> </w:t>
      </w:r>
      <w:r>
        <w:tab/>
      </w:r>
      <w:r w:rsidRPr="009C0FD0">
        <w:rPr>
          <w:i/>
        </w:rPr>
        <w:t>See</w:t>
      </w:r>
      <w:r>
        <w:t xml:space="preserve"> </w:t>
      </w:r>
      <w:r w:rsidRPr="002002F4">
        <w:rPr>
          <w:i/>
        </w:rPr>
        <w:t xml:space="preserve">e.g., </w:t>
      </w:r>
      <w:r>
        <w:rPr>
          <w:i/>
          <w:iCs/>
        </w:rPr>
        <w:t>Gaines v. Gaines Bros. Co.</w:t>
      </w:r>
      <w:r>
        <w:t xml:space="preserve">, 1936 OK 113, 56 P.2d 863; </w:t>
      </w:r>
      <w:r>
        <w:rPr>
          <w:i/>
          <w:iCs/>
        </w:rPr>
        <w:t>McKee v. Interstate Oil &amp; Gas Co.</w:t>
      </w:r>
      <w:r>
        <w:t xml:space="preserve">, 77 Okl. 260, 188 P. 109, 112 (1920).  The Oklahoma courts have also applied fiduciary duties to controlling shareholders.  </w:t>
      </w:r>
      <w:r w:rsidRPr="009C0FD0">
        <w:rPr>
          <w:i/>
        </w:rPr>
        <w:t>See</w:t>
      </w:r>
      <w:r>
        <w:t xml:space="preserve"> </w:t>
      </w:r>
      <w:r>
        <w:rPr>
          <w:i/>
          <w:iCs/>
        </w:rPr>
        <w:t>Warren v. Century Bankcorporation, Inc</w:t>
      </w:r>
      <w:r>
        <w:t xml:space="preserve">., 1987 OK 14, 741 P.2d 846; </w:t>
      </w:r>
      <w:r w:rsidRPr="009C0FD0">
        <w:rPr>
          <w:i/>
        </w:rPr>
        <w:t>Beard v. Love</w:t>
      </w:r>
      <w:r>
        <w:t xml:space="preserve">, 2007 OK Civ.App. 118, 173 P.3d 796.  The Court has also applied fiduciary duties to the directors of cooperative corporations.  </w:t>
      </w:r>
      <w:r w:rsidRPr="00C36F57">
        <w:rPr>
          <w:i/>
          <w:iCs/>
          <w:szCs w:val="24"/>
        </w:rPr>
        <w:t>Hargrave v. Canadian Valley Elec. Co-op., Inc.</w:t>
      </w:r>
      <w:r>
        <w:rPr>
          <w:iCs/>
          <w:szCs w:val="24"/>
        </w:rPr>
        <w:t xml:space="preserve">, </w:t>
      </w:r>
      <w:r>
        <w:rPr>
          <w:rFonts w:ascii="Times New (W1)" w:hAnsi="Times New (W1)"/>
        </w:rPr>
        <w:t xml:space="preserve">792 P.2d 50 (Okla. 1990).  The Oklahoma Uniform Limited Partnership Act </w:t>
      </w:r>
      <w:r>
        <w:t xml:space="preserve">explicitly applies fiduciary duties to the general partner when dealing with the partnership.  54 O.S. </w:t>
      </w:r>
      <w:r>
        <w:rPr>
          <w:rFonts w:cs="Times New Roman"/>
        </w:rPr>
        <w:t xml:space="preserve">§500-408A(a).  The Oklahoma LLC Act affords LLC managers the protections of the business judgment rule, which could infer that LLC managers have duties like those of corporate directors and officers.  </w:t>
      </w:r>
      <w:r>
        <w:rPr>
          <w:szCs w:val="24"/>
        </w:rPr>
        <w:t xml:space="preserve">18 O.S. </w:t>
      </w:r>
      <w:r>
        <w:rPr>
          <w:rFonts w:cs="Times New Roman"/>
          <w:szCs w:val="24"/>
        </w:rPr>
        <w:t>§</w:t>
      </w:r>
      <w:r>
        <w:rPr>
          <w:szCs w:val="24"/>
        </w:rPr>
        <w:t>2016.4.</w:t>
      </w:r>
    </w:p>
  </w:footnote>
  <w:footnote w:id="27">
    <w:p w:rsidR="00831F73" w:rsidRDefault="00831F73">
      <w:pPr>
        <w:pStyle w:val="FootnoteText"/>
        <w:rPr>
          <w:szCs w:val="24"/>
        </w:rPr>
      </w:pPr>
      <w:r>
        <w:rPr>
          <w:rStyle w:val="FootnoteReference"/>
        </w:rPr>
        <w:footnoteRef/>
      </w:r>
      <w:r>
        <w:t xml:space="preserve"> </w:t>
      </w:r>
      <w:r>
        <w:tab/>
      </w:r>
      <w:r>
        <w:rPr>
          <w:szCs w:val="24"/>
        </w:rPr>
        <w:t xml:space="preserve">Section 2060 of the Oklahoma LLC Act reads: </w:t>
      </w:r>
    </w:p>
    <w:p w:rsidR="00831F73" w:rsidRPr="00CA1EB6" w:rsidRDefault="00831F73" w:rsidP="00CA1EB6">
      <w:pPr>
        <w:pStyle w:val="FootnoteText"/>
        <w:ind w:left="1080" w:firstLine="0"/>
        <w:rPr>
          <w:rFonts w:cs="Times New Roman"/>
          <w:szCs w:val="24"/>
        </w:rPr>
      </w:pPr>
      <w:r>
        <w:rPr>
          <w:rFonts w:cs="Times New Roman"/>
          <w:shd w:val="clear" w:color="auto" w:fill="FFFFFF"/>
        </w:rPr>
        <w:t>“</w:t>
      </w:r>
      <w:r w:rsidRPr="00CA1EB6">
        <w:rPr>
          <w:rFonts w:cs="Times New Roman"/>
          <w:shd w:val="clear" w:color="auto" w:fill="FFFFFF"/>
        </w:rPr>
        <w:t>In any case not provided for in this act, the rules of law and equity, including the law merchant, shall govern</w:t>
      </w:r>
      <w:r>
        <w:rPr>
          <w:rFonts w:cs="Times New Roman"/>
          <w:shd w:val="clear" w:color="auto" w:fill="FFFFFF"/>
        </w:rPr>
        <w:t>.”</w:t>
      </w:r>
    </w:p>
    <w:p w:rsidR="00831F73" w:rsidRDefault="00831F73" w:rsidP="00CA1EB6">
      <w:pPr>
        <w:pStyle w:val="FootnoteText"/>
        <w:ind w:firstLine="0"/>
      </w:pPr>
      <w:r>
        <w:rPr>
          <w:szCs w:val="24"/>
        </w:rPr>
        <w:t xml:space="preserve">18 O.S. </w:t>
      </w:r>
      <w:r>
        <w:rPr>
          <w:rFonts w:cs="Times New Roman"/>
          <w:szCs w:val="24"/>
        </w:rPr>
        <w:t>§</w:t>
      </w:r>
      <w:r>
        <w:rPr>
          <w:szCs w:val="24"/>
        </w:rPr>
        <w:t xml:space="preserve">2060; </w:t>
      </w:r>
      <w:r w:rsidRPr="00BA46C8">
        <w:rPr>
          <w:i/>
          <w:szCs w:val="24"/>
        </w:rPr>
        <w:t>cf.</w:t>
      </w:r>
      <w:r>
        <w:rPr>
          <w:szCs w:val="24"/>
        </w:rPr>
        <w:t xml:space="preserve"> </w:t>
      </w:r>
      <w:r>
        <w:rPr>
          <w:rFonts w:cs="Times New Roman"/>
          <w:shd w:val="clear" w:color="auto" w:fill="FFFFFF"/>
        </w:rPr>
        <w:t>6 Del. C. §18-1104</w:t>
      </w:r>
      <w:r>
        <w:rPr>
          <w:szCs w:val="24"/>
        </w:rPr>
        <w:t>.  Both the Oklahoma LLC Act and Delaware LLC Act offer support for the contractarian position, which is not present in the respective corporation acts.</w:t>
      </w:r>
      <w:r w:rsidRPr="00BA46C8">
        <w:rPr>
          <w:rFonts w:cs="Times New Roman"/>
          <w:szCs w:val="24"/>
        </w:rPr>
        <w:t xml:space="preserve">  </w:t>
      </w:r>
      <w:r w:rsidRPr="00BA46C8">
        <w:rPr>
          <w:rFonts w:cs="Times New Roman"/>
          <w:i/>
          <w:szCs w:val="24"/>
        </w:rPr>
        <w:t>See e.g.</w:t>
      </w:r>
      <w:r w:rsidRPr="00BA46C8">
        <w:rPr>
          <w:rFonts w:cs="Times New Roman"/>
          <w:szCs w:val="24"/>
        </w:rPr>
        <w:t>, 18 O.S. §2058.D (“</w:t>
      </w:r>
      <w:r w:rsidRPr="00BA46C8">
        <w:rPr>
          <w:rFonts w:cs="Times New Roman"/>
          <w:shd w:val="clear" w:color="auto" w:fill="FFFFFF"/>
        </w:rPr>
        <w:t>It is the policy of this act to give the maximum effect to the principle of freedom of contract and the enforceability of operating agreements”)</w:t>
      </w:r>
      <w:r>
        <w:rPr>
          <w:rFonts w:cs="Times New Roman"/>
          <w:shd w:val="clear" w:color="auto" w:fill="FFFFFF"/>
        </w:rPr>
        <w:t xml:space="preserve">; </w:t>
      </w:r>
      <w:r w:rsidR="000051CB" w:rsidRPr="000051CB">
        <w:rPr>
          <w:rFonts w:cs="Times New Roman"/>
          <w:i/>
          <w:shd w:val="clear" w:color="auto" w:fill="FFFFFF"/>
        </w:rPr>
        <w:t>accord</w:t>
      </w:r>
      <w:r w:rsidR="000051CB">
        <w:rPr>
          <w:rFonts w:cs="Times New Roman"/>
          <w:shd w:val="clear" w:color="auto" w:fill="FFFFFF"/>
        </w:rPr>
        <w:t xml:space="preserve"> </w:t>
      </w:r>
      <w:r>
        <w:rPr>
          <w:rFonts w:cs="Times New Roman"/>
          <w:shd w:val="clear" w:color="auto" w:fill="FFFFFF"/>
        </w:rPr>
        <w:t xml:space="preserve">6 Del. C. §18-1101(b). </w:t>
      </w:r>
    </w:p>
  </w:footnote>
  <w:footnote w:id="28">
    <w:p w:rsidR="00831F73" w:rsidRPr="00D06AD4" w:rsidRDefault="00831F73">
      <w:pPr>
        <w:pStyle w:val="FootnoteText"/>
        <w:rPr>
          <w:rFonts w:cs="Times New Roman"/>
          <w:kern w:val="20"/>
        </w:rPr>
      </w:pPr>
      <w:r w:rsidRPr="00D06AD4">
        <w:rPr>
          <w:rStyle w:val="FootnoteReference"/>
          <w:rFonts w:cs="Times New Roman"/>
          <w:kern w:val="20"/>
          <w:position w:val="0"/>
          <w:sz w:val="20"/>
        </w:rPr>
        <w:footnoteRef/>
      </w:r>
      <w:r w:rsidRPr="00D06AD4">
        <w:rPr>
          <w:rFonts w:cs="Times New Roman"/>
          <w:kern w:val="20"/>
        </w:rPr>
        <w:t xml:space="preserve"> </w:t>
      </w:r>
      <w:r w:rsidRPr="00D06AD4">
        <w:rPr>
          <w:rFonts w:cs="Times New Roman"/>
          <w:kern w:val="20"/>
        </w:rPr>
        <w:tab/>
        <w:t xml:space="preserve">Under the business judgment rule, the court will defer to the decisions of the board unless the terms were so poor that no rational person in good faith could have thought the terms were fair.  See </w:t>
      </w:r>
      <w:r w:rsidRPr="00D06AD4">
        <w:rPr>
          <w:rStyle w:val="Emphasis"/>
          <w:rFonts w:cs="Times New Roman"/>
          <w:kern w:val="20"/>
          <w:shd w:val="clear" w:color="auto" w:fill="FFFFFF"/>
        </w:rPr>
        <w:t>Sinclair Oil Corp v. Levien</w:t>
      </w:r>
      <w:r w:rsidRPr="00D06AD4">
        <w:rPr>
          <w:rFonts w:cs="Times New Roman"/>
          <w:kern w:val="20"/>
          <w:shd w:val="clear" w:color="auto" w:fill="FFFFFF"/>
        </w:rPr>
        <w:t>, 280 A.2d 717,720 (Del. 1971) (</w:t>
      </w:r>
      <w:r>
        <w:rPr>
          <w:rFonts w:cs="Times New Roman"/>
          <w:kern w:val="20"/>
          <w:shd w:val="clear" w:color="auto" w:fill="FFFFFF"/>
        </w:rPr>
        <w:t>“</w:t>
      </w:r>
      <w:r w:rsidRPr="00D06AD4">
        <w:rPr>
          <w:rFonts w:cs="Times New Roman"/>
          <w:kern w:val="20"/>
          <w:shd w:val="clear" w:color="auto" w:fill="FFFFFF"/>
        </w:rPr>
        <w:t>A board of directors enjoys a presumption of sound business judgment, and its decision will not be disturbed if they can be attributed to</w:t>
      </w:r>
      <w:r>
        <w:rPr>
          <w:rFonts w:cs="Times New Roman"/>
          <w:kern w:val="20"/>
          <w:shd w:val="clear" w:color="auto" w:fill="FFFFFF"/>
        </w:rPr>
        <w:t xml:space="preserve"> any rational business purpose.”</w:t>
      </w:r>
      <w:r w:rsidRPr="00D06AD4">
        <w:rPr>
          <w:rFonts w:cs="Times New Roman"/>
          <w:kern w:val="20"/>
          <w:shd w:val="clear" w:color="auto" w:fill="FFFFFF"/>
        </w:rPr>
        <w:t>)</w:t>
      </w:r>
      <w:r w:rsidR="000051CB">
        <w:rPr>
          <w:rFonts w:cs="Times New Roman"/>
          <w:kern w:val="20"/>
          <w:shd w:val="clear" w:color="auto" w:fill="FFFFFF"/>
        </w:rPr>
        <w:t>.</w:t>
      </w:r>
    </w:p>
  </w:footnote>
  <w:footnote w:id="29">
    <w:p w:rsidR="00831F73" w:rsidRDefault="00831F73">
      <w:pPr>
        <w:pStyle w:val="FootnoteText"/>
      </w:pPr>
      <w:r>
        <w:rPr>
          <w:rStyle w:val="FootnoteReference"/>
        </w:rPr>
        <w:footnoteRef/>
      </w:r>
      <w:r>
        <w:t xml:space="preserve"> </w:t>
      </w:r>
      <w:r>
        <w:tab/>
      </w:r>
      <w:r w:rsidRPr="008724EC">
        <w:rPr>
          <w:rStyle w:val="Emphasis"/>
          <w:rFonts w:cs="Times New Roman"/>
          <w:shd w:val="clear" w:color="auto" w:fill="FFFFFF"/>
        </w:rPr>
        <w:t>Sterling v. Mayflower Hotel Corp.</w:t>
      </w:r>
      <w:r w:rsidRPr="008724EC">
        <w:rPr>
          <w:rFonts w:cs="Times New Roman"/>
          <w:shd w:val="clear" w:color="auto" w:fill="FFFFFF"/>
        </w:rPr>
        <w:t xml:space="preserve">, 93 A.2d 107, 110 (Del. 1952) (a majority shareholder standing </w:t>
      </w:r>
      <w:r>
        <w:rPr>
          <w:rFonts w:cs="Times New Roman"/>
          <w:shd w:val="clear" w:color="auto" w:fill="FFFFFF"/>
        </w:rPr>
        <w:t>“</w:t>
      </w:r>
      <w:r w:rsidRPr="008724EC">
        <w:rPr>
          <w:rFonts w:cs="Times New Roman"/>
          <w:shd w:val="clear" w:color="auto" w:fill="FFFFFF"/>
        </w:rPr>
        <w:t>on both sides of the transaction, . . . bear[s] the burden of establishing its entire fairness</w:t>
      </w:r>
      <w:r>
        <w:rPr>
          <w:rFonts w:cs="Times New Roman"/>
          <w:shd w:val="clear" w:color="auto" w:fill="FFFFFF"/>
        </w:rPr>
        <w:t>”</w:t>
      </w:r>
      <w:r w:rsidRPr="008724EC">
        <w:rPr>
          <w:rFonts w:cs="Times New Roman"/>
          <w:shd w:val="clear" w:color="auto" w:fill="FFFFFF"/>
        </w:rPr>
        <w:t>);</w:t>
      </w:r>
      <w:r>
        <w:rPr>
          <w:rFonts w:cs="Times New Roman"/>
          <w:shd w:val="clear" w:color="auto" w:fill="FFFFFF"/>
        </w:rPr>
        <w:t xml:space="preserve"> </w:t>
      </w:r>
      <w:r w:rsidRPr="008724EC">
        <w:rPr>
          <w:rStyle w:val="Emphasis"/>
          <w:rFonts w:cs="Times New Roman"/>
          <w:shd w:val="clear" w:color="auto" w:fill="FFFFFF"/>
        </w:rPr>
        <w:t>see also Weinberger v. UOP, Inc.</w:t>
      </w:r>
      <w:r w:rsidRPr="008724EC">
        <w:rPr>
          <w:rFonts w:cs="Times New Roman"/>
          <w:shd w:val="clear" w:color="auto" w:fill="FFFFFF"/>
        </w:rPr>
        <w:t>, 457 A.2d 701, 710 (Del. 1983)</w:t>
      </w:r>
      <w:r>
        <w:rPr>
          <w:rFonts w:cs="Times New Roman"/>
          <w:shd w:val="clear" w:color="auto" w:fill="FFFFFF"/>
        </w:rPr>
        <w:t>.</w:t>
      </w:r>
    </w:p>
  </w:footnote>
  <w:footnote w:id="30">
    <w:p w:rsidR="00831F73" w:rsidRDefault="00831F73">
      <w:pPr>
        <w:pStyle w:val="FootnoteText"/>
      </w:pPr>
      <w:r>
        <w:rPr>
          <w:rStyle w:val="FootnoteReference"/>
        </w:rPr>
        <w:footnoteRef/>
      </w:r>
      <w:r>
        <w:t xml:space="preserve"> </w:t>
      </w:r>
      <w:r>
        <w:tab/>
      </w:r>
      <w:r w:rsidRPr="00D06AD4">
        <w:rPr>
          <w:rStyle w:val="Emphasis"/>
          <w:rFonts w:cs="Times New Roman"/>
          <w:shd w:val="clear" w:color="auto" w:fill="FFFFFF"/>
        </w:rPr>
        <w:t>Kahn v. Lynch Commc'ns Syst.</w:t>
      </w:r>
      <w:r w:rsidRPr="00D06AD4">
        <w:rPr>
          <w:rFonts w:cs="Times New Roman"/>
          <w:shd w:val="clear" w:color="auto" w:fill="FFFFFF"/>
        </w:rPr>
        <w:t>, 638 A.2d 1110, 1117 (Del. Ch. 1994)</w:t>
      </w:r>
      <w:r>
        <w:rPr>
          <w:rFonts w:cs="Times New Roman"/>
          <w:shd w:val="clear" w:color="auto" w:fill="FFFFFF"/>
        </w:rPr>
        <w:t>.</w:t>
      </w:r>
    </w:p>
  </w:footnote>
  <w:footnote w:id="31">
    <w:p w:rsidR="00831F73" w:rsidRDefault="00831F73">
      <w:pPr>
        <w:pStyle w:val="FootnoteText"/>
      </w:pPr>
      <w:r>
        <w:rPr>
          <w:rStyle w:val="FootnoteReference"/>
        </w:rPr>
        <w:footnoteRef/>
      </w:r>
      <w:r>
        <w:t xml:space="preserve"> </w:t>
      </w:r>
      <w:r>
        <w:tab/>
        <w:t>67 A.3d 496 (Del. Ch. 2013).</w:t>
      </w:r>
    </w:p>
  </w:footnote>
  <w:footnote w:id="32">
    <w:p w:rsidR="00831F73" w:rsidRDefault="00831F73">
      <w:pPr>
        <w:pStyle w:val="FootnoteText"/>
      </w:pPr>
      <w:r>
        <w:rPr>
          <w:rStyle w:val="FootnoteReference"/>
        </w:rPr>
        <w:footnoteRef/>
      </w:r>
      <w:r>
        <w:t xml:space="preserve"> </w:t>
      </w:r>
      <w:r>
        <w:tab/>
        <w:t xml:space="preserve">Gary W. Derrick, </w:t>
      </w:r>
      <w:r w:rsidRPr="00BF4277">
        <w:rPr>
          <w:i/>
        </w:rPr>
        <w:t>Recent Developments in Oklahoma Business and Corporate Law – 20</w:t>
      </w:r>
      <w:r>
        <w:rPr>
          <w:i/>
        </w:rPr>
        <w:t>12</w:t>
      </w:r>
      <w:r>
        <w:t>, OBA 2012 Recent Developments (Day Two).</w:t>
      </w:r>
    </w:p>
  </w:footnote>
  <w:footnote w:id="33">
    <w:p w:rsidR="00831F73" w:rsidRDefault="00831F73">
      <w:pPr>
        <w:pStyle w:val="FootnoteText"/>
      </w:pPr>
      <w:r>
        <w:rPr>
          <w:rStyle w:val="FootnoteReference"/>
        </w:rPr>
        <w:footnoteRef/>
      </w:r>
      <w:r>
        <w:t xml:space="preserve"> </w:t>
      </w:r>
      <w:r>
        <w:tab/>
        <w:t xml:space="preserve">For a current and comprehensive discussion of benefit corporations, see Corporate Laws Committee, ABA Business Law Section, </w:t>
      </w:r>
      <w:r w:rsidRPr="00CD5C6F">
        <w:rPr>
          <w:i/>
        </w:rPr>
        <w:t>Benefit Corporation White Paper</w:t>
      </w:r>
      <w:r>
        <w:t xml:space="preserve">, to be published in the November 2013 issue of The Business Lawyer (vol. 69, issue 1) (avail. at  </w:t>
      </w:r>
      <w:hyperlink w:history="1">
        <w:r w:rsidRPr="000E32DB">
          <w:rPr>
            <w:rStyle w:val="Hyperlink"/>
          </w:rPr>
          <w:t>http://meetings. abanet.org/webupload/commupload/CL870000/sitesofinterest_files/white_paper.pdf</w:t>
        </w:r>
      </w:hyperlink>
      <w:r>
        <w:t>.) (the “</w:t>
      </w:r>
      <w:r w:rsidRPr="006F4416">
        <w:rPr>
          <w:i/>
        </w:rPr>
        <w:t>ABA White Paper</w:t>
      </w:r>
      <w:r>
        <w:t xml:space="preserve">”). </w:t>
      </w:r>
    </w:p>
  </w:footnote>
  <w:footnote w:id="34">
    <w:p w:rsidR="00831F73" w:rsidRPr="00363BC9" w:rsidRDefault="00831F73" w:rsidP="006030EE">
      <w:pPr>
        <w:pStyle w:val="FootnoteText"/>
      </w:pPr>
      <w:r w:rsidRPr="00363BC9">
        <w:rPr>
          <w:rStyle w:val="FootnoteReference"/>
        </w:rPr>
        <w:footnoteRef/>
      </w:r>
      <w:r w:rsidRPr="00363BC9">
        <w:t xml:space="preserve"> </w:t>
      </w:r>
      <w:r w:rsidRPr="00363BC9">
        <w:tab/>
      </w:r>
      <w:r>
        <w:t xml:space="preserve">Arizona, Arkansas, </w:t>
      </w:r>
      <w:r w:rsidRPr="00363BC9">
        <w:rPr>
          <w:rFonts w:eastAsia="Times New Roman"/>
          <w:szCs w:val="24"/>
        </w:rPr>
        <w:t xml:space="preserve">California, </w:t>
      </w:r>
      <w:r>
        <w:rPr>
          <w:rFonts w:eastAsia="Times New Roman"/>
          <w:szCs w:val="24"/>
        </w:rPr>
        <w:t xml:space="preserve">Colorado, Delaware, </w:t>
      </w:r>
      <w:r w:rsidRPr="00363BC9">
        <w:rPr>
          <w:rFonts w:eastAsia="Times New Roman"/>
          <w:szCs w:val="24"/>
        </w:rPr>
        <w:t xml:space="preserve">Hawaii, Illinois, Louisiana, Massachusetts, </w:t>
      </w:r>
      <w:r>
        <w:rPr>
          <w:rFonts w:eastAsia="Times New Roman"/>
          <w:szCs w:val="24"/>
        </w:rPr>
        <w:t xml:space="preserve">Nevada, </w:t>
      </w:r>
      <w:r w:rsidRPr="00363BC9">
        <w:rPr>
          <w:rFonts w:eastAsia="Times New Roman"/>
          <w:szCs w:val="24"/>
        </w:rPr>
        <w:t xml:space="preserve">New Jersey, New York, </w:t>
      </w:r>
      <w:r>
        <w:rPr>
          <w:rFonts w:eastAsia="Times New Roman"/>
          <w:szCs w:val="24"/>
        </w:rPr>
        <w:t xml:space="preserve">Oregon, Pennsylvania, Rhode Island, </w:t>
      </w:r>
      <w:r w:rsidRPr="00363BC9">
        <w:rPr>
          <w:rFonts w:eastAsia="Times New Roman"/>
          <w:szCs w:val="24"/>
        </w:rPr>
        <w:t xml:space="preserve">South Carolina, </w:t>
      </w:r>
      <w:r>
        <w:rPr>
          <w:rFonts w:eastAsia="Times New Roman"/>
          <w:szCs w:val="24"/>
        </w:rPr>
        <w:t xml:space="preserve">Texas, </w:t>
      </w:r>
      <w:r w:rsidRPr="00363BC9">
        <w:rPr>
          <w:rFonts w:eastAsia="Times New Roman"/>
          <w:szCs w:val="24"/>
        </w:rPr>
        <w:t>Vermont</w:t>
      </w:r>
      <w:r>
        <w:rPr>
          <w:rFonts w:eastAsia="Times New Roman"/>
          <w:szCs w:val="24"/>
        </w:rPr>
        <w:t>,</w:t>
      </w:r>
      <w:r w:rsidRPr="00363BC9">
        <w:rPr>
          <w:rFonts w:eastAsia="Times New Roman"/>
          <w:szCs w:val="24"/>
        </w:rPr>
        <w:t xml:space="preserve"> Virginia</w:t>
      </w:r>
      <w:r>
        <w:rPr>
          <w:rFonts w:eastAsia="Times New Roman"/>
          <w:szCs w:val="24"/>
        </w:rPr>
        <w:t xml:space="preserve"> and Washington</w:t>
      </w:r>
      <w:r w:rsidRPr="00363BC9">
        <w:rPr>
          <w:rFonts w:eastAsia="Times New Roman"/>
          <w:szCs w:val="24"/>
        </w:rPr>
        <w:t xml:space="preserve">. </w:t>
      </w:r>
      <w:r>
        <w:rPr>
          <w:rFonts w:eastAsia="Times New Roman"/>
          <w:szCs w:val="24"/>
        </w:rPr>
        <w:t xml:space="preserve"> </w:t>
      </w:r>
      <w:r w:rsidRPr="00363BC9">
        <w:rPr>
          <w:i/>
        </w:rPr>
        <w:t>See</w:t>
      </w:r>
      <w:r w:rsidRPr="00363BC9">
        <w:t xml:space="preserve"> </w:t>
      </w:r>
      <w:hyperlink r:id="rId6" w:history="1">
        <w:r w:rsidRPr="00363BC9">
          <w:rPr>
            <w:rStyle w:val="Hyperlink"/>
            <w:color w:val="auto"/>
          </w:rPr>
          <w:t>http://www.benefitcorp.net/state-by-state-legislative-status</w:t>
        </w:r>
      </w:hyperlink>
      <w:r w:rsidRPr="00363BC9">
        <w:t>.</w:t>
      </w:r>
      <w:r>
        <w:t xml:space="preserve">  </w:t>
      </w:r>
      <w:r w:rsidRPr="00363BC9">
        <w:t xml:space="preserve">The legislation in </w:t>
      </w:r>
      <w:r>
        <w:t xml:space="preserve">most of </w:t>
      </w:r>
      <w:r w:rsidRPr="00363BC9">
        <w:t>these states is based generally on a Model Benefit Corporation Act, which is promoted by a non-profit organization called B Lab Corporation.  B</w:t>
      </w:r>
      <w:r w:rsidR="006E58D1">
        <w:t> </w:t>
      </w:r>
      <w:r w:rsidRPr="00363BC9">
        <w:t xml:space="preserve">Lab </w:t>
      </w:r>
      <w:r w:rsidR="006E58D1">
        <w:t>runs</w:t>
      </w:r>
      <w:r w:rsidRPr="00363BC9">
        <w:t xml:space="preserve"> a certification process for qualifying entities.   </w:t>
      </w:r>
      <w:r w:rsidRPr="00363BC9">
        <w:rPr>
          <w:i/>
        </w:rPr>
        <w:t>See</w:t>
      </w:r>
      <w:r w:rsidRPr="00363BC9">
        <w:t xml:space="preserve"> </w:t>
      </w:r>
      <w:hyperlink r:id="rId7" w:history="1">
        <w:r w:rsidRPr="00363BC9">
          <w:rPr>
            <w:rStyle w:val="Hyperlink"/>
            <w:color w:val="auto"/>
          </w:rPr>
          <w:t>http://www.bcorporation.net/</w:t>
        </w:r>
      </w:hyperlink>
      <w:r w:rsidRPr="00363BC9">
        <w:t>.  Benefit corporations are comprehensively discussed in J.</w:t>
      </w:r>
      <w:r w:rsidR="006E58D1">
        <w:t> </w:t>
      </w:r>
      <w:r w:rsidRPr="00363BC9">
        <w:t xml:space="preserve">William Callison’s article, </w:t>
      </w:r>
      <w:r w:rsidRPr="00363BC9">
        <w:rPr>
          <w:i/>
        </w:rPr>
        <w:t>Putting New Sheets on a Procrustean Bed: How Benefit Corporations Address Fiduciary Duties, the Dangers Created, and Suggestions for Change</w:t>
      </w:r>
      <w:r w:rsidRPr="00363BC9">
        <w:t xml:space="preserve">, at </w:t>
      </w:r>
      <w:hyperlink r:id="rId8" w:history="1">
        <w:r w:rsidRPr="00363BC9">
          <w:rPr>
            <w:rStyle w:val="Hyperlink"/>
            <w:color w:val="auto"/>
          </w:rPr>
          <w:t>http://papers.ssrn.com/sol3/papers.cfm? abstract_id=2102655</w:t>
        </w:r>
      </w:hyperlink>
      <w:r w:rsidRPr="00363BC9">
        <w:t xml:space="preserve"> (July 9, 2012).</w:t>
      </w:r>
      <w:r>
        <w:t xml:space="preserve">  Washington, California and Texas have adopted what is referred to as a “flexible purpose”, which is stated in the charter, but is not required to be considered by the directors.  The Texas statutes do not refer to any reporting responsibilities.  Maryland and Oregon allow LLCs as well as corporations to use the public benefit provisions.  </w:t>
      </w:r>
    </w:p>
  </w:footnote>
  <w:footnote w:id="35">
    <w:p w:rsidR="00831F73" w:rsidRDefault="00831F73">
      <w:pPr>
        <w:pStyle w:val="FootnoteText"/>
      </w:pPr>
      <w:r>
        <w:rPr>
          <w:rStyle w:val="FootnoteReference"/>
        </w:rPr>
        <w:footnoteRef/>
      </w:r>
      <w:r>
        <w:t xml:space="preserve"> </w:t>
      </w:r>
      <w:r>
        <w:tab/>
        <w:t xml:space="preserve">DGCL, Sections 361-368. </w:t>
      </w:r>
    </w:p>
  </w:footnote>
  <w:footnote w:id="36">
    <w:p w:rsidR="00831F73" w:rsidRPr="006F6151" w:rsidRDefault="00831F73">
      <w:pPr>
        <w:pStyle w:val="FootnoteText"/>
      </w:pPr>
      <w:r>
        <w:rPr>
          <w:rStyle w:val="FootnoteReference"/>
        </w:rPr>
        <w:footnoteRef/>
      </w:r>
      <w:r>
        <w:t xml:space="preserve"> </w:t>
      </w:r>
      <w:r>
        <w:tab/>
      </w:r>
      <w:r w:rsidRPr="001537B4">
        <w:rPr>
          <w:rFonts w:eastAsia="Times New Roman"/>
          <w:i/>
          <w:szCs w:val="24"/>
        </w:rPr>
        <w:t>eBay Domestic Holdings, Inc. v. Newmark</w:t>
      </w:r>
      <w:r>
        <w:rPr>
          <w:rFonts w:eastAsia="Times New Roman"/>
          <w:szCs w:val="24"/>
        </w:rPr>
        <w:t xml:space="preserve">, 16 A.3d 1 (Del.Ch. 2010) </w:t>
      </w:r>
      <w:r w:rsidRPr="00032A9B">
        <w:rPr>
          <w:rFonts w:eastAsia="Times New Roman"/>
          <w:szCs w:val="24"/>
        </w:rPr>
        <w:t xml:space="preserve">(“Promoting, protecting, or pursuing non-stockholder considerations must </w:t>
      </w:r>
      <w:r>
        <w:rPr>
          <w:rFonts w:eastAsia="Times New Roman"/>
          <w:szCs w:val="24"/>
        </w:rPr>
        <w:t xml:space="preserve">[ultimately] </w:t>
      </w:r>
      <w:r w:rsidRPr="00032A9B">
        <w:rPr>
          <w:rFonts w:eastAsia="Times New Roman"/>
          <w:szCs w:val="24"/>
        </w:rPr>
        <w:t>lead to value for stockholders</w:t>
      </w:r>
      <w:r>
        <w:rPr>
          <w:rFonts w:eastAsia="Times New Roman"/>
          <w:szCs w:val="24"/>
        </w:rPr>
        <w:t>.</w:t>
      </w:r>
      <w:r w:rsidRPr="00032A9B">
        <w:rPr>
          <w:rFonts w:eastAsia="Times New Roman"/>
          <w:szCs w:val="24"/>
        </w:rPr>
        <w:t>”</w:t>
      </w:r>
      <w:r>
        <w:rPr>
          <w:rFonts w:eastAsia="Times New Roman"/>
          <w:szCs w:val="24"/>
        </w:rPr>
        <w:t xml:space="preserve">  D</w:t>
      </w:r>
      <w:r w:rsidRPr="00032A9B">
        <w:rPr>
          <w:rFonts w:eastAsia="Times New Roman"/>
          <w:szCs w:val="24"/>
        </w:rPr>
        <w:t xml:space="preserve">irectors who </w:t>
      </w:r>
      <w:r>
        <w:rPr>
          <w:rFonts w:eastAsia="Times New Roman"/>
          <w:szCs w:val="24"/>
        </w:rPr>
        <w:t xml:space="preserve">cannot prove that </w:t>
      </w:r>
      <w:r w:rsidRPr="00032A9B">
        <w:rPr>
          <w:rFonts w:eastAsia="Times New Roman"/>
          <w:szCs w:val="24"/>
        </w:rPr>
        <w:t>their actions w</w:t>
      </w:r>
      <w:r>
        <w:rPr>
          <w:rFonts w:eastAsia="Times New Roman"/>
          <w:szCs w:val="24"/>
        </w:rPr>
        <w:t>ill</w:t>
      </w:r>
      <w:r w:rsidRPr="00032A9B">
        <w:rPr>
          <w:rFonts w:eastAsia="Times New Roman"/>
          <w:szCs w:val="24"/>
        </w:rPr>
        <w:t xml:space="preserve"> lead to shareholder value </w:t>
      </w:r>
      <w:r>
        <w:rPr>
          <w:rFonts w:eastAsia="Times New Roman"/>
          <w:szCs w:val="24"/>
        </w:rPr>
        <w:t xml:space="preserve">have </w:t>
      </w:r>
      <w:r w:rsidRPr="00032A9B">
        <w:rPr>
          <w:rFonts w:eastAsia="Times New Roman"/>
          <w:szCs w:val="24"/>
        </w:rPr>
        <w:t>“failed to prove . . . that they acted in the good faith pursuit of a proper corporate purpose</w:t>
      </w:r>
      <w:r>
        <w:rPr>
          <w:rFonts w:eastAsia="Times New Roman"/>
          <w:szCs w:val="24"/>
        </w:rPr>
        <w:t>.</w:t>
      </w:r>
      <w:r w:rsidRPr="00032A9B">
        <w:rPr>
          <w:rFonts w:eastAsia="Times New Roman"/>
          <w:szCs w:val="24"/>
        </w:rPr>
        <w:t>”)</w:t>
      </w:r>
      <w:r>
        <w:rPr>
          <w:rFonts w:eastAsia="Times New Roman"/>
          <w:szCs w:val="24"/>
        </w:rPr>
        <w:t>.</w:t>
      </w:r>
    </w:p>
  </w:footnote>
  <w:footnote w:id="37">
    <w:p w:rsidR="00831F73" w:rsidRDefault="00831F73">
      <w:pPr>
        <w:pStyle w:val="FootnoteText"/>
      </w:pPr>
      <w:r>
        <w:rPr>
          <w:rStyle w:val="FootnoteReference"/>
        </w:rPr>
        <w:footnoteRef/>
      </w:r>
      <w:r>
        <w:t xml:space="preserve"> </w:t>
      </w:r>
      <w:r>
        <w:tab/>
        <w:t xml:space="preserve">The benefit corporation has been described as pursuing a “triple bottom line” consisting of “profits, planet and people”.  </w:t>
      </w:r>
      <w:r w:rsidRPr="008346AD">
        <w:rPr>
          <w:i/>
        </w:rPr>
        <w:t>See</w:t>
      </w:r>
      <w:r>
        <w:t xml:space="preserve"> “Triple Bottom Line:  It Consists of Three Ps:  Profits, Planet and People”, </w:t>
      </w:r>
      <w:r w:rsidRPr="008346AD">
        <w:rPr>
          <w:i/>
        </w:rPr>
        <w:t>The Economist</w:t>
      </w:r>
      <w:r>
        <w:t xml:space="preserve"> (Nov. 17, 2009) (attributing the description to John Elkington, a business consultant and leader in the corporate social responsibility movement).  </w:t>
      </w:r>
    </w:p>
  </w:footnote>
  <w:footnote w:id="38">
    <w:p w:rsidR="00831F73" w:rsidRDefault="00831F73">
      <w:pPr>
        <w:pStyle w:val="FootnoteText"/>
      </w:pPr>
      <w:r>
        <w:rPr>
          <w:rStyle w:val="FootnoteReference"/>
        </w:rPr>
        <w:footnoteRef/>
      </w:r>
      <w:r>
        <w:t xml:space="preserve"> </w:t>
      </w:r>
      <w:r>
        <w:tab/>
        <w:t xml:space="preserve">A “public benefit” has “a positive effect (or reduction of negative effects) on one or more categories of persons, entities, communities or interests (other than stockholders in their capacities as stockholders) including, but not limited to, effects of an artistic, charitable, cultural, economic, educational, environmental, literary, medical, religious, scientific or technological nature.”  8 Del.C. </w:t>
      </w:r>
      <w:r>
        <w:rPr>
          <w:rFonts w:cs="Times New Roman"/>
        </w:rPr>
        <w:t>§</w:t>
      </w:r>
      <w:r>
        <w:t xml:space="preserve">362(b). </w:t>
      </w:r>
    </w:p>
  </w:footnote>
  <w:footnote w:id="39">
    <w:p w:rsidR="00831F73" w:rsidRPr="003F0BA0" w:rsidRDefault="00831F73">
      <w:pPr>
        <w:pStyle w:val="FootnoteText"/>
        <w:rPr>
          <w:rFonts w:cs="Times New Roman"/>
        </w:rPr>
      </w:pPr>
      <w:r w:rsidRPr="003F0BA0">
        <w:rPr>
          <w:rStyle w:val="FootnoteReference"/>
          <w:rFonts w:cs="Times New Roman"/>
          <w:sz w:val="20"/>
        </w:rPr>
        <w:footnoteRef/>
      </w:r>
      <w:r w:rsidRPr="003F0BA0">
        <w:rPr>
          <w:rFonts w:cs="Times New Roman"/>
        </w:rPr>
        <w:t xml:space="preserve"> </w:t>
      </w:r>
      <w:r w:rsidRPr="003F0BA0">
        <w:rPr>
          <w:rFonts w:cs="Times New Roman"/>
        </w:rPr>
        <w:tab/>
      </w:r>
      <w:r w:rsidRPr="003F0BA0">
        <w:rPr>
          <w:rFonts w:cs="Times New Roman"/>
          <w:i/>
        </w:rPr>
        <w:t>See</w:t>
      </w:r>
      <w:r w:rsidRPr="003F0BA0">
        <w:rPr>
          <w:rFonts w:cs="Times New Roman"/>
        </w:rPr>
        <w:t xml:space="preserve"> ABA White Paper, Appendix A (avail. at  </w:t>
      </w:r>
      <w:hyperlink r:id="rId9" w:history="1">
        <w:r w:rsidRPr="003F0BA0">
          <w:rPr>
            <w:rStyle w:val="Hyperlink"/>
            <w:rFonts w:cs="Times New Roman"/>
          </w:rPr>
          <w:t>http://meetings.abanet.org/webupload/ commupload/CL870000/sitesofinterest_files/white_paper.pdf</w:t>
        </w:r>
      </w:hyperlink>
      <w:r w:rsidRPr="003F0BA0">
        <w:rPr>
          <w:rFonts w:cs="Times New Roman"/>
        </w:rPr>
        <w:t>.)</w:t>
      </w:r>
    </w:p>
  </w:footnote>
  <w:footnote w:id="40">
    <w:p w:rsidR="00831F73" w:rsidRPr="003F0BA0" w:rsidRDefault="00831F73">
      <w:pPr>
        <w:pStyle w:val="FootnoteText"/>
        <w:rPr>
          <w:rFonts w:cs="Times New Roman"/>
        </w:rPr>
      </w:pPr>
      <w:r w:rsidRPr="003F0BA0">
        <w:rPr>
          <w:rStyle w:val="FootnoteReference"/>
          <w:rFonts w:cs="Times New Roman"/>
          <w:sz w:val="20"/>
        </w:rPr>
        <w:footnoteRef/>
      </w:r>
      <w:r w:rsidRPr="003F0BA0">
        <w:rPr>
          <w:rFonts w:cs="Times New Roman"/>
        </w:rPr>
        <w:t xml:space="preserve"> </w:t>
      </w:r>
      <w:r w:rsidRPr="003F0BA0">
        <w:rPr>
          <w:rFonts w:cs="Times New Roman"/>
        </w:rPr>
        <w:tab/>
      </w:r>
      <w:r w:rsidRPr="003F0BA0">
        <w:rPr>
          <w:rFonts w:eastAsia="Times New Roman" w:cs="Times New Roman"/>
          <w:i/>
        </w:rPr>
        <w:t>eBay Domestic Holdings, Inc. v. Newmark</w:t>
      </w:r>
      <w:r w:rsidRPr="003F0BA0">
        <w:rPr>
          <w:rFonts w:eastAsia="Times New Roman" w:cs="Times New Roman"/>
        </w:rPr>
        <w:t>, 16 A.3d 1 (Del. Ch. 2010).</w:t>
      </w:r>
    </w:p>
  </w:footnote>
  <w:footnote w:id="41">
    <w:p w:rsidR="00831F73" w:rsidRDefault="00831F73">
      <w:pPr>
        <w:pStyle w:val="FootnoteText"/>
      </w:pPr>
      <w:r>
        <w:rPr>
          <w:rStyle w:val="FootnoteReference"/>
        </w:rPr>
        <w:footnoteRef/>
      </w:r>
      <w:r>
        <w:t xml:space="preserve"> </w:t>
      </w:r>
      <w:r>
        <w:tab/>
      </w:r>
      <w:r w:rsidRPr="000101C0">
        <w:rPr>
          <w:i/>
        </w:rPr>
        <w:t>Id</w:t>
      </w:r>
      <w:r>
        <w:t xml:space="preserve"> at 35. </w:t>
      </w:r>
    </w:p>
  </w:footnote>
  <w:footnote w:id="42">
    <w:p w:rsidR="00831F73" w:rsidRDefault="00831F73">
      <w:pPr>
        <w:pStyle w:val="FootnoteText"/>
      </w:pPr>
      <w:r>
        <w:rPr>
          <w:rStyle w:val="FootnoteReference"/>
        </w:rPr>
        <w:footnoteRef/>
      </w:r>
      <w:r>
        <w:t xml:space="preserve"> </w:t>
      </w:r>
      <w:r>
        <w:tab/>
      </w:r>
      <w:r w:rsidRPr="008B60FE">
        <w:rPr>
          <w:i/>
        </w:rPr>
        <w:t>See</w:t>
      </w:r>
      <w:r>
        <w:t xml:space="preserve"> Leo E. Strine, Jr., </w:t>
      </w:r>
      <w:r w:rsidRPr="005A06F1">
        <w:rPr>
          <w:i/>
        </w:rPr>
        <w:t>Our Continuing Struggle with the Idea that For-Profit Corporations Seek Profit</w:t>
      </w:r>
      <w:r>
        <w:t xml:space="preserve">, 47 Wake Forest L. Rev. 135 (March 2012).  Delaware Chancellor (Judge) Strine argues that other constituencies cannot hold directors accountable for duties the directors might owe them since the other constituencies have no mechanism to enforce those duties.  Thus, allowing the directors to consider the interests of other constituencies means a diminution of duties owed to the shareholders without a corresponding increase in duties to others, which effectively increases the directors’ authority without more accountability.  </w:t>
      </w:r>
    </w:p>
  </w:footnote>
  <w:footnote w:id="43">
    <w:p w:rsidR="00831F73" w:rsidRDefault="00831F73" w:rsidP="00273C86">
      <w:pPr>
        <w:pStyle w:val="FootnoteText"/>
      </w:pPr>
      <w:r>
        <w:rPr>
          <w:rStyle w:val="FootnoteReference"/>
        </w:rPr>
        <w:footnoteRef/>
      </w:r>
      <w:r>
        <w:t xml:space="preserve"> </w:t>
      </w:r>
      <w:r>
        <w:tab/>
        <w:t xml:space="preserve">House Bill 1995 was authored by Representative Randy Grau.  It was prepared by the Oklahoma General Corporation Act Committee, which is a subcommittee of the Business and Corporate Law Section of the OBA.  The Committee drafted the OGCA and the LLC Act and works to maintain the currency of Oklahoma’s business entity legislation. </w:t>
      </w:r>
    </w:p>
  </w:footnote>
  <w:footnote w:id="44">
    <w:p w:rsidR="00831F73" w:rsidRDefault="00831F73" w:rsidP="0034259B">
      <w:pPr>
        <w:pStyle w:val="FootnoteText"/>
      </w:pPr>
      <w:r>
        <w:rPr>
          <w:rStyle w:val="FootnoteReference"/>
        </w:rPr>
        <w:footnoteRef/>
      </w:r>
      <w:r>
        <w:t xml:space="preserve"> </w:t>
      </w:r>
      <w:r>
        <w:tab/>
        <w:t xml:space="preserve">The intent in modeling the OGCA after the DGCL was to foster reliance on the large body of Delaware case law, which offers persuasive guidance in Oklahoma.  </w:t>
      </w:r>
      <w:r>
        <w:rPr>
          <w:i/>
          <w:iCs/>
        </w:rPr>
        <w:t>Price v. Southwestern Bell Tel. Co.</w:t>
      </w:r>
      <w:r>
        <w:t xml:space="preserve">, 812 P.2d 1355 (Okla. 1991); </w:t>
      </w:r>
      <w:r>
        <w:rPr>
          <w:i/>
          <w:iCs/>
        </w:rPr>
        <w:t>Woolf v. Universal Fidelity Life Insurance Company</w:t>
      </w:r>
      <w:r>
        <w:t xml:space="preserve">, 849 P.2d 1093 (Okla.Ct.App. 1992) (since the OGCA is based on the DGCL, the OGCA should be interpreted in accordance with Delaware decisions).  The continued adoption of the Delaware changes is intended to ensure continued guidance from the Delaware </w:t>
      </w:r>
      <w:r w:rsidR="008C3774">
        <w:t>case law</w:t>
      </w:r>
      <w:r>
        <w:t>.</w:t>
      </w:r>
    </w:p>
  </w:footnote>
  <w:footnote w:id="45">
    <w:p w:rsidR="00831F73" w:rsidRDefault="00831F73">
      <w:pPr>
        <w:pStyle w:val="FootnoteText"/>
      </w:pPr>
      <w:r>
        <w:rPr>
          <w:rStyle w:val="FootnoteReference"/>
        </w:rPr>
        <w:footnoteRef/>
      </w:r>
      <w:r>
        <w:t xml:space="preserve"> </w:t>
      </w:r>
      <w:r>
        <w:tab/>
        <w:t xml:space="preserve">House Bill 1996 was authored by Representative Randy Grau.  It was a joint project between the OBA’s Uniform Act Committee and the Oklahoma General Corporation Act Committee, which conformed the language to fit the statutory drafting practices and </w:t>
      </w:r>
      <w:r w:rsidR="000850A0">
        <w:t xml:space="preserve">to </w:t>
      </w:r>
      <w:r>
        <w:t xml:space="preserve">accommodate the Secretary of State’s electronic filing system. </w:t>
      </w:r>
    </w:p>
  </w:footnote>
  <w:footnote w:id="46">
    <w:p w:rsidR="00831F73" w:rsidRDefault="00831F73">
      <w:pPr>
        <w:pStyle w:val="FootnoteText"/>
      </w:pPr>
      <w:r>
        <w:rPr>
          <w:rStyle w:val="FootnoteReference"/>
        </w:rPr>
        <w:footnoteRef/>
      </w:r>
      <w:r>
        <w:t xml:space="preserve"> </w:t>
      </w:r>
      <w:r>
        <w:tab/>
        <w:t xml:space="preserve">Classified boards are those in which the terms of the directors do not expire annually.  The directors are separated into classes whose terms are staggered.  The typical classified board has three classes of directors, who serve staggered three-year terms.  Classified boards are authorized under 18 O.S. </w:t>
      </w:r>
      <w:r>
        <w:rPr>
          <w:rFonts w:cs="Times New Roman"/>
        </w:rPr>
        <w:t>§</w:t>
      </w:r>
      <w:r>
        <w:t>1027.D.</w:t>
      </w:r>
    </w:p>
  </w:footnote>
  <w:footnote w:id="47">
    <w:p w:rsidR="00831F73" w:rsidRDefault="00831F73">
      <w:pPr>
        <w:pStyle w:val="FootnoteText"/>
      </w:pPr>
      <w:r>
        <w:rPr>
          <w:rStyle w:val="FootnoteReference"/>
        </w:rPr>
        <w:footnoteRef/>
      </w:r>
      <w:r>
        <w:t xml:space="preserve"> </w:t>
      </w:r>
      <w:r>
        <w:tab/>
        <w:t xml:space="preserve">Gilbert, Daniel et al, “Chesapeake Board Revamp Curbs McClendon’s Power”, </w:t>
      </w:r>
      <w:r w:rsidRPr="00483CFF">
        <w:rPr>
          <w:i/>
        </w:rPr>
        <w:t>Wall Street Journal</w:t>
      </w:r>
      <w:r>
        <w:t xml:space="preserve"> (June 4, 2012).</w:t>
      </w:r>
    </w:p>
  </w:footnote>
  <w:footnote w:id="48">
    <w:p w:rsidR="00831F73" w:rsidRDefault="00831F73">
      <w:pPr>
        <w:pStyle w:val="FootnoteText"/>
      </w:pPr>
      <w:r>
        <w:rPr>
          <w:rStyle w:val="FootnoteReference"/>
        </w:rPr>
        <w:footnoteRef/>
      </w:r>
      <w:r>
        <w:t xml:space="preserve"> </w:t>
      </w:r>
      <w:r>
        <w:tab/>
        <w:t>2012 OK CIV APP 103, 290 P.3d 779 (2012).</w:t>
      </w:r>
    </w:p>
  </w:footnote>
  <w:footnote w:id="49">
    <w:p w:rsidR="00831F73" w:rsidRDefault="00831F73">
      <w:pPr>
        <w:pStyle w:val="FootnoteText"/>
      </w:pPr>
      <w:r>
        <w:rPr>
          <w:rStyle w:val="FootnoteReference"/>
        </w:rPr>
        <w:footnoteRef/>
      </w:r>
      <w:r>
        <w:t xml:space="preserve"> </w:t>
      </w:r>
      <w:r>
        <w:tab/>
        <w:t xml:space="preserve">The case history is somewhat complicated procedurally.  The trial court awarded the defendants attorney fees based on its conclusion that the TRO was improvidently granted based on the plaintiffs’ lack of standing.  </w:t>
      </w:r>
      <w:r w:rsidR="00887A43">
        <w:t xml:space="preserve">The plaintiffs were appealing the award of attorney fees. </w:t>
      </w:r>
    </w:p>
  </w:footnote>
  <w:footnote w:id="50">
    <w:p w:rsidR="00831F73" w:rsidRDefault="00831F73">
      <w:pPr>
        <w:pStyle w:val="FootnoteText"/>
      </w:pPr>
      <w:r>
        <w:rPr>
          <w:rStyle w:val="FootnoteReference"/>
        </w:rPr>
        <w:footnoteRef/>
      </w:r>
      <w:r>
        <w:t xml:space="preserve"> </w:t>
      </w:r>
      <w:r>
        <w:tab/>
        <w:t xml:space="preserve">The pleading requirements are set forth in 12 O.S. </w:t>
      </w:r>
      <w:r>
        <w:rPr>
          <w:rFonts w:cs="Times New Roman"/>
        </w:rPr>
        <w:t>§</w:t>
      </w:r>
      <w:r>
        <w:t>2023.1, which provides in part:</w:t>
      </w:r>
    </w:p>
    <w:p w:rsidR="00831F73" w:rsidRPr="00695213" w:rsidRDefault="00831F73" w:rsidP="00695213">
      <w:pPr>
        <w:pStyle w:val="FootnoteText"/>
        <w:ind w:left="1080" w:firstLine="0"/>
        <w:rPr>
          <w:rFonts w:cs="Times New Roman"/>
        </w:rPr>
      </w:pPr>
      <w:r w:rsidRPr="00695213">
        <w:rPr>
          <w:rFonts w:cs="Times New Roman"/>
          <w:shd w:val="clear" w:color="auto" w:fill="FFFFFF"/>
        </w:rPr>
        <w:t>“In a derivative action brought by one or more shareholders or members to enforce a right of a corporation or of an unincorporated association, the corporation or association having failed to enforce a right which may properly be asserted by it, the petition shall be verified and shall allege that the plaintiff was a shareholder or member at the time of the transaction of which he complains or that his share or membership thereafter devolved on him by operation of law. The petition shall also allege with particularity the efforts, if any, made by the plaintiff to obtain the action he desires from the directors or comparable authority and, if necessary, from the shareholders or members, and the reasons for his failure to obtain the action or for not making the effort.”</w:t>
      </w:r>
    </w:p>
    <w:p w:rsidR="00831F73" w:rsidRDefault="00831F73" w:rsidP="00361E94">
      <w:pPr>
        <w:pStyle w:val="FootnoteText"/>
        <w:ind w:firstLine="0"/>
      </w:pPr>
      <w:r>
        <w:t xml:space="preserve">The opinion cites both Oklahoma and Delaware authority for determining a plaintiff’s standing to pursue a derivative action.  Both parties acknowledged that Delaware law is persuasive since the applicable statute was modeled on the Delaware law and further that the Efftec was incorporated in Nevada, which follows Delaware law.  </w:t>
      </w:r>
      <w:r w:rsidR="00887A43">
        <w:rPr>
          <w:i/>
        </w:rPr>
        <w:t>Kurtz, supra</w:t>
      </w:r>
      <w:r w:rsidRPr="00495CEE">
        <w:rPr>
          <w:i/>
        </w:rPr>
        <w:t xml:space="preserve"> at</w:t>
      </w:r>
      <w:r>
        <w:t xml:space="preserve"> </w:t>
      </w:r>
      <w:r>
        <w:rPr>
          <w:rFonts w:cs="Times New Roman"/>
        </w:rPr>
        <w:t>¶¶</w:t>
      </w:r>
      <w:r>
        <w:t>19-21.</w:t>
      </w:r>
    </w:p>
  </w:footnote>
  <w:footnote w:id="51">
    <w:p w:rsidR="00831F73" w:rsidRDefault="00831F73">
      <w:pPr>
        <w:pStyle w:val="FootnoteText"/>
      </w:pPr>
      <w:r>
        <w:rPr>
          <w:rStyle w:val="FootnoteReference"/>
        </w:rPr>
        <w:footnoteRef/>
      </w:r>
      <w:r>
        <w:t xml:space="preserve"> </w:t>
      </w:r>
      <w:r>
        <w:tab/>
      </w:r>
      <w:r w:rsidRPr="00361E94">
        <w:rPr>
          <w:i/>
        </w:rPr>
        <w:t>Id.</w:t>
      </w:r>
      <w:r>
        <w:t xml:space="preserve"> at </w:t>
      </w:r>
      <w:r>
        <w:rPr>
          <w:rFonts w:cs="Times New Roman"/>
        </w:rPr>
        <w:t>¶</w:t>
      </w:r>
      <w:r>
        <w:t xml:space="preserve">21 (citing </w:t>
      </w:r>
      <w:r w:rsidRPr="00361E94">
        <w:rPr>
          <w:i/>
        </w:rPr>
        <w:t>Kaplan v. Peat, Marwick, Mitchell &amp; Co</w:t>
      </w:r>
      <w:r>
        <w:t>., 540 A.2d 726, 731 (Del. 1988).</w:t>
      </w:r>
    </w:p>
  </w:footnote>
  <w:footnote w:id="52">
    <w:p w:rsidR="00831F73" w:rsidRDefault="00831F73">
      <w:pPr>
        <w:pStyle w:val="FootnoteText"/>
      </w:pPr>
      <w:r>
        <w:rPr>
          <w:rStyle w:val="FootnoteReference"/>
        </w:rPr>
        <w:footnoteRef/>
      </w:r>
      <w:r>
        <w:t xml:space="preserve"> </w:t>
      </w:r>
      <w:r>
        <w:tab/>
      </w:r>
      <w:r w:rsidRPr="00361E94">
        <w:rPr>
          <w:i/>
        </w:rPr>
        <w:t>Id.</w:t>
      </w:r>
      <w:r>
        <w:t xml:space="preserve"> at </w:t>
      </w:r>
      <w:r>
        <w:rPr>
          <w:rFonts w:cs="Times New Roman"/>
        </w:rPr>
        <w:t>¶¶</w:t>
      </w:r>
      <w:r>
        <w:t>24-26.</w:t>
      </w:r>
    </w:p>
  </w:footnote>
  <w:footnote w:id="53">
    <w:p w:rsidR="00831F73" w:rsidRDefault="00831F73">
      <w:pPr>
        <w:pStyle w:val="FootnoteText"/>
      </w:pPr>
      <w:r>
        <w:rPr>
          <w:rStyle w:val="FootnoteReference"/>
        </w:rPr>
        <w:footnoteRef/>
      </w:r>
      <w:r>
        <w:t xml:space="preserve"> </w:t>
      </w:r>
      <w:r>
        <w:tab/>
        <w:t>2013 OK CIV APP 7, 297 P.3d 413 (2012).</w:t>
      </w:r>
    </w:p>
  </w:footnote>
  <w:footnote w:id="54">
    <w:p w:rsidR="00831F73" w:rsidRDefault="00831F73">
      <w:pPr>
        <w:pStyle w:val="FootnoteText"/>
      </w:pPr>
      <w:r>
        <w:rPr>
          <w:rStyle w:val="FootnoteReference"/>
        </w:rPr>
        <w:footnoteRef/>
      </w:r>
      <w:r>
        <w:t xml:space="preserve"> </w:t>
      </w:r>
      <w:r>
        <w:tab/>
        <w:t xml:space="preserve">The plaintiffs raised multiple grounds for the manufacturer’s liability, including vicarious liability based on manufacturer’s agency, its negligent approval of the dealership, general negligence and liability under the motor vehicle statutes.  For purposes of this paper, we shall discuss only the common law claims.  </w:t>
      </w:r>
      <w:r w:rsidRPr="00361E94">
        <w:rPr>
          <w:i/>
        </w:rPr>
        <w:t>Id.</w:t>
      </w:r>
      <w:r>
        <w:t xml:space="preserve"> at </w:t>
      </w:r>
      <w:r>
        <w:rPr>
          <w:rFonts w:cs="Times New Roman"/>
        </w:rPr>
        <w:t>¶6.</w:t>
      </w:r>
    </w:p>
  </w:footnote>
  <w:footnote w:id="55">
    <w:p w:rsidR="00831F73" w:rsidRDefault="00831F73">
      <w:pPr>
        <w:pStyle w:val="FootnoteText"/>
      </w:pPr>
      <w:r>
        <w:rPr>
          <w:rStyle w:val="FootnoteReference"/>
        </w:rPr>
        <w:footnoteRef/>
      </w:r>
      <w:r>
        <w:t xml:space="preserve"> </w:t>
      </w:r>
      <w:r>
        <w:tab/>
      </w:r>
      <w:r w:rsidRPr="00361E94">
        <w:rPr>
          <w:i/>
        </w:rPr>
        <w:t>Id.</w:t>
      </w:r>
      <w:r>
        <w:t xml:space="preserve"> at </w:t>
      </w:r>
      <w:r>
        <w:rPr>
          <w:rFonts w:cs="Times New Roman"/>
        </w:rPr>
        <w:t>¶¶7-14.</w:t>
      </w:r>
    </w:p>
  </w:footnote>
  <w:footnote w:id="56">
    <w:p w:rsidR="00831F73" w:rsidRDefault="00831F73">
      <w:pPr>
        <w:pStyle w:val="FootnoteText"/>
      </w:pPr>
      <w:r>
        <w:rPr>
          <w:rStyle w:val="FootnoteReference"/>
        </w:rPr>
        <w:footnoteRef/>
      </w:r>
      <w:r>
        <w:t xml:space="preserve"> </w:t>
      </w:r>
      <w:r>
        <w:tab/>
      </w:r>
      <w:r w:rsidRPr="00361E94">
        <w:rPr>
          <w:i/>
        </w:rPr>
        <w:t>Id.</w:t>
      </w:r>
      <w:r>
        <w:t xml:space="preserve"> at </w:t>
      </w:r>
      <w:r>
        <w:rPr>
          <w:rFonts w:cs="Times New Roman"/>
        </w:rPr>
        <w:t>¶¶18, 19.</w:t>
      </w:r>
    </w:p>
  </w:footnote>
  <w:footnote w:id="57">
    <w:p w:rsidR="00831F73" w:rsidRDefault="00831F73">
      <w:pPr>
        <w:pStyle w:val="FootnoteText"/>
      </w:pPr>
      <w:r w:rsidRPr="00C744A6">
        <w:rPr>
          <w:rStyle w:val="FootnoteReference"/>
          <w:rFonts w:cs="Times New Roman"/>
          <w:sz w:val="20"/>
        </w:rPr>
        <w:footnoteRef/>
      </w:r>
      <w:r w:rsidRPr="00C744A6">
        <w:rPr>
          <w:rFonts w:cs="Times New Roman"/>
        </w:rPr>
        <w:t xml:space="preserve"> </w:t>
      </w:r>
      <w:r w:rsidRPr="00C744A6">
        <w:rPr>
          <w:rFonts w:cs="Times New Roman"/>
        </w:rPr>
        <w:tab/>
      </w:r>
      <w:r w:rsidRPr="00C744A6">
        <w:rPr>
          <w:rFonts w:cs="Times New Roman"/>
          <w:i/>
        </w:rPr>
        <w:t>Id.</w:t>
      </w:r>
      <w:r w:rsidRPr="00C744A6">
        <w:rPr>
          <w:rFonts w:cs="Times New Roman"/>
        </w:rPr>
        <w:t xml:space="preserve"> at ¶20 (citing </w:t>
      </w:r>
      <w:r w:rsidRPr="00C744A6">
        <w:rPr>
          <w:rFonts w:cs="Times New Roman"/>
          <w:i/>
          <w:iCs/>
          <w:shd w:val="clear" w:color="auto" w:fill="FFFFFF"/>
        </w:rPr>
        <w:t>Summit Automotive Group, LTD v. Clark and Kia Motors</w:t>
      </w:r>
      <w:r w:rsidRPr="00C744A6">
        <w:rPr>
          <w:rFonts w:cs="Times New Roman"/>
          <w:shd w:val="clear" w:color="auto" w:fill="FFFFFF"/>
        </w:rPr>
        <w:t>, 681 S.E.2d 681 (Ga. App.</w:t>
      </w:r>
      <w:r>
        <w:rPr>
          <w:rFonts w:cs="Times New Roman"/>
          <w:shd w:val="clear" w:color="auto" w:fill="FFFFFF"/>
        </w:rPr>
        <w:t xml:space="preserve"> </w:t>
      </w:r>
      <w:r w:rsidRPr="00C744A6">
        <w:rPr>
          <w:rFonts w:cs="Times New Roman"/>
          <w:shd w:val="clear" w:color="auto" w:fill="FFFFFF"/>
        </w:rPr>
        <w:t>2009);</w:t>
      </w:r>
      <w:r>
        <w:rPr>
          <w:rFonts w:cs="Times New Roman"/>
          <w:shd w:val="clear" w:color="auto" w:fill="FFFFFF"/>
        </w:rPr>
        <w:t xml:space="preserve"> </w:t>
      </w:r>
      <w:r w:rsidRPr="00C744A6">
        <w:rPr>
          <w:rFonts w:cs="Times New Roman"/>
          <w:i/>
          <w:iCs/>
          <w:shd w:val="clear" w:color="auto" w:fill="FFFFFF"/>
        </w:rPr>
        <w:t>DaimlerChrysler Motor Company, LLC v Clemente</w:t>
      </w:r>
      <w:r w:rsidRPr="00C744A6">
        <w:rPr>
          <w:rFonts w:cs="Times New Roman"/>
          <w:shd w:val="clear" w:color="auto" w:fill="FFFFFF"/>
        </w:rPr>
        <w:t>, 668 S.E.2d 737 (Ga.App.</w:t>
      </w:r>
      <w:r>
        <w:rPr>
          <w:rFonts w:cs="Times New Roman"/>
          <w:shd w:val="clear" w:color="auto" w:fill="FFFFFF"/>
        </w:rPr>
        <w:t xml:space="preserve"> </w:t>
      </w:r>
      <w:r w:rsidRPr="00C744A6">
        <w:rPr>
          <w:rFonts w:cs="Times New Roman"/>
          <w:shd w:val="clear" w:color="auto" w:fill="FFFFFF"/>
        </w:rPr>
        <w:t>2008);</w:t>
      </w:r>
      <w:r>
        <w:rPr>
          <w:rFonts w:cs="Times New Roman"/>
          <w:shd w:val="clear" w:color="auto" w:fill="FFFFFF"/>
        </w:rPr>
        <w:t xml:space="preserve"> </w:t>
      </w:r>
      <w:r w:rsidRPr="00C744A6">
        <w:rPr>
          <w:rFonts w:cs="Times New Roman"/>
          <w:i/>
          <w:iCs/>
          <w:shd w:val="clear" w:color="auto" w:fill="FFFFFF"/>
        </w:rPr>
        <w:t>Ortega v. General Motors Corp</w:t>
      </w:r>
      <w:r w:rsidRPr="00C744A6">
        <w:rPr>
          <w:rFonts w:cs="Times New Roman"/>
          <w:shd w:val="clear" w:color="auto" w:fill="FFFFFF"/>
        </w:rPr>
        <w:t>., 392 So.2d 40 (Fla.Dist.Ct.App. 1981)</w:t>
      </w:r>
      <w:r>
        <w:rPr>
          <w:rFonts w:cs="Times New Roman"/>
          <w:shd w:val="clear" w:color="auto" w:fill="FFFFFF"/>
        </w:rPr>
        <w:t>)</w:t>
      </w:r>
      <w:r>
        <w:rPr>
          <w:rFonts w:cs="Times New Roman"/>
        </w:rPr>
        <w:t xml:space="preserve">. </w:t>
      </w:r>
    </w:p>
  </w:footnote>
  <w:footnote w:id="58">
    <w:p w:rsidR="00831F73" w:rsidRDefault="00831F73">
      <w:pPr>
        <w:pStyle w:val="FootnoteText"/>
      </w:pPr>
      <w:r>
        <w:rPr>
          <w:rStyle w:val="FootnoteReference"/>
        </w:rPr>
        <w:footnoteRef/>
      </w:r>
      <w:r>
        <w:t xml:space="preserve"> </w:t>
      </w:r>
      <w:r>
        <w:tab/>
      </w:r>
      <w:r w:rsidRPr="00C744A6">
        <w:rPr>
          <w:rFonts w:cs="Times New Roman"/>
          <w:i/>
        </w:rPr>
        <w:t>Id.</w:t>
      </w:r>
      <w:r w:rsidRPr="00C744A6">
        <w:rPr>
          <w:rFonts w:cs="Times New Roman"/>
        </w:rPr>
        <w:t xml:space="preserve"> at ¶20</w:t>
      </w:r>
      <w:r>
        <w:rPr>
          <w:rFonts w:cs="Times New Roman"/>
        </w:rPr>
        <w:t>.</w:t>
      </w:r>
    </w:p>
  </w:footnote>
  <w:footnote w:id="59">
    <w:p w:rsidR="00831F73" w:rsidRPr="00A85F8D" w:rsidRDefault="00831F73">
      <w:pPr>
        <w:pStyle w:val="FootnoteText"/>
        <w:rPr>
          <w:rFonts w:cs="Times New Roman"/>
        </w:rPr>
      </w:pPr>
      <w:r w:rsidRPr="00A85F8D">
        <w:rPr>
          <w:rStyle w:val="FootnoteReference"/>
          <w:rFonts w:cs="Times New Roman"/>
          <w:sz w:val="20"/>
        </w:rPr>
        <w:footnoteRef/>
      </w:r>
      <w:r w:rsidRPr="00A85F8D">
        <w:rPr>
          <w:rFonts w:cs="Times New Roman"/>
        </w:rPr>
        <w:t xml:space="preserve"> </w:t>
      </w:r>
      <w:r w:rsidRPr="00A85F8D">
        <w:rPr>
          <w:rFonts w:cs="Times New Roman"/>
        </w:rPr>
        <w:tab/>
      </w:r>
      <w:r w:rsidRPr="00A85F8D">
        <w:rPr>
          <w:rFonts w:cs="Times New Roman"/>
          <w:i/>
        </w:rPr>
        <w:t>Id.</w:t>
      </w:r>
      <w:r w:rsidRPr="00A85F8D">
        <w:rPr>
          <w:rFonts w:cs="Times New Roman"/>
        </w:rPr>
        <w:t xml:space="preserve"> at ¶¶19-31 (citing </w:t>
      </w:r>
      <w:r w:rsidRPr="00A85F8D">
        <w:rPr>
          <w:rFonts w:cs="Times New Roman"/>
          <w:i/>
        </w:rPr>
        <w:t>Coe v. Esau</w:t>
      </w:r>
      <w:r w:rsidRPr="00A85F8D">
        <w:rPr>
          <w:rFonts w:cs="Times New Roman"/>
        </w:rPr>
        <w:t xml:space="preserve">, 1963 OK 1, 377 P.2d 815 (display of the “Conoco” name on the station does not suggest the station owner is Conoco’s agent, but only indicates that the station owner is selling Conoco products); </w:t>
      </w:r>
      <w:r w:rsidRPr="00A85F8D">
        <w:rPr>
          <w:rFonts w:cs="Times New Roman"/>
          <w:i/>
        </w:rPr>
        <w:t>Stephens v. Yamaha Motors Co., Ltd</w:t>
      </w:r>
      <w:r w:rsidRPr="00A85F8D">
        <w:rPr>
          <w:rFonts w:cs="Times New Roman"/>
        </w:rPr>
        <w:t>., 1981 OK 42, 627 P.2d 439 (“</w:t>
      </w:r>
      <w:r w:rsidRPr="00A85F8D">
        <w:rPr>
          <w:rFonts w:cs="Times New Roman"/>
          <w:color w:val="000000"/>
          <w:shd w:val="clear" w:color="auto" w:fill="FFFFFF"/>
        </w:rPr>
        <w:t>[</w:t>
      </w:r>
      <w:r>
        <w:rPr>
          <w:rFonts w:cs="Times New Roman"/>
          <w:color w:val="000000"/>
          <w:shd w:val="clear" w:color="auto" w:fill="FFFFFF"/>
        </w:rPr>
        <w:t>I</w:t>
      </w:r>
      <w:r w:rsidRPr="00A85F8D">
        <w:rPr>
          <w:rFonts w:cs="Times New Roman"/>
          <w:color w:val="000000"/>
          <w:shd w:val="clear" w:color="auto" w:fill="FFFFFF"/>
        </w:rPr>
        <w:t>]t is a matter of common knowledge that these trade mark signs are displayed throughout the country by</w:t>
      </w:r>
      <w:r>
        <w:rPr>
          <w:rFonts w:cs="Times New Roman"/>
          <w:color w:val="000000"/>
          <w:shd w:val="clear" w:color="auto" w:fill="FFFFFF"/>
        </w:rPr>
        <w:t xml:space="preserve"> </w:t>
      </w:r>
      <w:r w:rsidRPr="00A85F8D">
        <w:rPr>
          <w:rFonts w:cs="Times New Roman"/>
          <w:iCs/>
          <w:color w:val="000000"/>
          <w:shd w:val="clear" w:color="auto" w:fill="FFFFFF"/>
        </w:rPr>
        <w:t>independent dealers</w:t>
      </w:r>
      <w:r w:rsidRPr="00A85F8D">
        <w:rPr>
          <w:rFonts w:cs="Times New Roman"/>
          <w:color w:val="000000"/>
          <w:shd w:val="clear" w:color="auto" w:fill="FFFFFF"/>
        </w:rPr>
        <w:t>.</w:t>
      </w:r>
      <w:r>
        <w:rPr>
          <w:rFonts w:cs="Times New Roman"/>
          <w:color w:val="000000"/>
          <w:shd w:val="clear" w:color="auto" w:fill="FFFFFF"/>
        </w:rPr>
        <w:t>”</w:t>
      </w:r>
      <w:r w:rsidRPr="00A85F8D">
        <w:rPr>
          <w:rFonts w:cs="Times New Roman"/>
          <w:color w:val="000000"/>
          <w:shd w:val="clear" w:color="auto" w:fill="FFFFFF"/>
        </w:rPr>
        <w:t>).</w:t>
      </w:r>
    </w:p>
  </w:footnote>
  <w:footnote w:id="60">
    <w:p w:rsidR="00831F73" w:rsidRDefault="00831F73">
      <w:pPr>
        <w:pStyle w:val="FootnoteText"/>
      </w:pPr>
      <w:r>
        <w:rPr>
          <w:rStyle w:val="FootnoteReference"/>
        </w:rPr>
        <w:footnoteRef/>
      </w:r>
      <w:r>
        <w:t xml:space="preserve"> </w:t>
      </w:r>
      <w:r>
        <w:tab/>
      </w:r>
      <w:r w:rsidRPr="00C744A6">
        <w:rPr>
          <w:rFonts w:cs="Times New Roman"/>
          <w:i/>
        </w:rPr>
        <w:t>Id.</w:t>
      </w:r>
      <w:r w:rsidRPr="00C744A6">
        <w:rPr>
          <w:rFonts w:cs="Times New Roman"/>
        </w:rPr>
        <w:t xml:space="preserve"> at ¶</w:t>
      </w:r>
      <w:r>
        <w:rPr>
          <w:rFonts w:cs="Times New Roman"/>
        </w:rPr>
        <w:t>54.</w:t>
      </w:r>
    </w:p>
  </w:footnote>
  <w:footnote w:id="61">
    <w:p w:rsidR="00831F73" w:rsidRDefault="00831F73">
      <w:pPr>
        <w:pStyle w:val="FootnoteText"/>
      </w:pPr>
      <w:r>
        <w:rPr>
          <w:rStyle w:val="FootnoteReference"/>
        </w:rPr>
        <w:footnoteRef/>
      </w:r>
      <w:r>
        <w:t xml:space="preserve"> </w:t>
      </w:r>
      <w:r>
        <w:tab/>
      </w:r>
      <w:r w:rsidRPr="00C744A6">
        <w:rPr>
          <w:rFonts w:cs="Times New Roman"/>
          <w:i/>
        </w:rPr>
        <w:t>Id.</w:t>
      </w:r>
      <w:r w:rsidRPr="00C744A6">
        <w:rPr>
          <w:rFonts w:cs="Times New Roman"/>
        </w:rPr>
        <w:t xml:space="preserve"> at ¶</w:t>
      </w:r>
      <w:r>
        <w:rPr>
          <w:rFonts w:cs="Times New Roman"/>
        </w:rPr>
        <w:t xml:space="preserve">51 (citing </w:t>
      </w:r>
      <w:r w:rsidRPr="00B322E4">
        <w:rPr>
          <w:rFonts w:cs="Times New Roman"/>
          <w:i/>
          <w:iCs/>
          <w:color w:val="000000"/>
          <w:shd w:val="clear" w:color="auto" w:fill="FFFFFF"/>
        </w:rPr>
        <w:t>Strubhart v. Perry Memorial Hospital Trust Authority</w:t>
      </w:r>
      <w:r w:rsidRPr="00B322E4">
        <w:rPr>
          <w:rFonts w:cs="Times New Roman"/>
          <w:color w:val="000000"/>
          <w:shd w:val="clear" w:color="auto" w:fill="FFFFFF"/>
        </w:rPr>
        <w:t>,</w:t>
      </w:r>
      <w:r>
        <w:rPr>
          <w:rFonts w:cs="Times New Roman"/>
          <w:color w:val="000000"/>
          <w:shd w:val="clear" w:color="auto" w:fill="FFFFFF"/>
        </w:rPr>
        <w:t xml:space="preserve"> </w:t>
      </w:r>
      <w:r w:rsidRPr="00B322E4">
        <w:rPr>
          <w:rFonts w:cs="Times New Roman"/>
          <w:shd w:val="clear" w:color="auto" w:fill="FFFFFF"/>
        </w:rPr>
        <w:t>1995 OK 10</w:t>
      </w:r>
      <w:r w:rsidRPr="00B322E4">
        <w:rPr>
          <w:rFonts w:cs="Times New Roman"/>
          <w:color w:val="000000"/>
          <w:shd w:val="clear" w:color="auto" w:fill="FFFFFF"/>
        </w:rPr>
        <w:t>, 903 P.3d 263)</w:t>
      </w:r>
      <w:r>
        <w:rPr>
          <w:rFonts w:cs="Times New Roman"/>
        </w:rPr>
        <w:t>.</w:t>
      </w:r>
    </w:p>
  </w:footnote>
  <w:footnote w:id="62">
    <w:p w:rsidR="00831F73" w:rsidRDefault="00831F73">
      <w:pPr>
        <w:pStyle w:val="FootnoteText"/>
      </w:pPr>
      <w:r>
        <w:rPr>
          <w:rStyle w:val="FootnoteReference"/>
        </w:rPr>
        <w:footnoteRef/>
      </w:r>
      <w:r>
        <w:t xml:space="preserve"> </w:t>
      </w:r>
      <w:r>
        <w:tab/>
      </w:r>
      <w:r w:rsidRPr="00C744A6">
        <w:rPr>
          <w:rFonts w:cs="Times New Roman"/>
          <w:i/>
        </w:rPr>
        <w:t>Id.</w:t>
      </w:r>
      <w:r w:rsidRPr="00C744A6">
        <w:rPr>
          <w:rFonts w:cs="Times New Roman"/>
        </w:rPr>
        <w:t xml:space="preserve"> at ¶</w:t>
      </w:r>
      <w:r>
        <w:rPr>
          <w:rFonts w:cs="Times New Roman"/>
        </w:rPr>
        <w:t>53.</w:t>
      </w:r>
    </w:p>
  </w:footnote>
  <w:footnote w:id="63">
    <w:p w:rsidR="00831F73" w:rsidRDefault="00831F73">
      <w:pPr>
        <w:pStyle w:val="FootnoteText"/>
      </w:pPr>
      <w:r>
        <w:rPr>
          <w:rStyle w:val="FootnoteReference"/>
        </w:rPr>
        <w:footnoteRef/>
      </w:r>
      <w:r>
        <w:t xml:space="preserve"> </w:t>
      </w:r>
      <w:r>
        <w:tab/>
      </w:r>
      <w:r w:rsidRPr="00C744A6">
        <w:rPr>
          <w:rFonts w:cs="Times New Roman"/>
          <w:i/>
        </w:rPr>
        <w:t>Id.</w:t>
      </w:r>
      <w:r w:rsidRPr="00C744A6">
        <w:rPr>
          <w:rFonts w:cs="Times New Roman"/>
        </w:rPr>
        <w:t xml:space="preserve"> at ¶</w:t>
      </w:r>
      <w:r>
        <w:rPr>
          <w:rFonts w:cs="Times New Roman"/>
        </w:rPr>
        <w:t>58.</w:t>
      </w:r>
    </w:p>
  </w:footnote>
  <w:footnote w:id="64">
    <w:p w:rsidR="00831F73" w:rsidRPr="00363BC9" w:rsidRDefault="00831F73" w:rsidP="003545EB">
      <w:pPr>
        <w:pStyle w:val="FootnoteText"/>
      </w:pPr>
      <w:r w:rsidRPr="00363BC9">
        <w:rPr>
          <w:rStyle w:val="FootnoteReference"/>
        </w:rPr>
        <w:footnoteRef/>
      </w:r>
      <w:r w:rsidRPr="00363BC9">
        <w:t xml:space="preserve"> </w:t>
      </w:r>
      <w:r w:rsidRPr="00363BC9">
        <w:tab/>
      </w:r>
      <w:r w:rsidRPr="00363BC9">
        <w:rPr>
          <w:i/>
        </w:rPr>
        <w:t xml:space="preserve">See </w:t>
      </w:r>
      <w:r w:rsidR="00DF4453">
        <w:t>“</w:t>
      </w:r>
      <w:r w:rsidRPr="00DF4453">
        <w:t>Down on the Street: A Special Report on American’s Capital Markets</w:t>
      </w:r>
      <w:r w:rsidR="00DF4453">
        <w:t>”</w:t>
      </w:r>
      <w:r w:rsidRPr="00363BC9">
        <w:t xml:space="preserve">, </w:t>
      </w:r>
      <w:r w:rsidRPr="00DF4453">
        <w:rPr>
          <w:i/>
          <w:iCs/>
        </w:rPr>
        <w:t>The Economist</w:t>
      </w:r>
      <w:r w:rsidRPr="00363BC9">
        <w:rPr>
          <w:i/>
          <w:iCs/>
        </w:rPr>
        <w:t xml:space="preserve"> </w:t>
      </w:r>
      <w:r w:rsidRPr="00363BC9">
        <w:t>(Nov. 25, 2006)</w:t>
      </w:r>
      <w:r w:rsidR="00AA5BE0">
        <w:t>.</w:t>
      </w:r>
      <w:r w:rsidRPr="00363BC9">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73" w:rsidRDefault="00831F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73" w:rsidRDefault="00831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3DC"/>
    <w:multiLevelType w:val="multilevel"/>
    <w:tmpl w:val="2B141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7301F"/>
    <w:multiLevelType w:val="hybridMultilevel"/>
    <w:tmpl w:val="B0BA6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6C4E4F"/>
    <w:multiLevelType w:val="multilevel"/>
    <w:tmpl w:val="50903CE2"/>
    <w:styleLink w:val="DB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BF3227"/>
    <w:multiLevelType w:val="multilevel"/>
    <w:tmpl w:val="96DC0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A248B"/>
    <w:multiLevelType w:val="multilevel"/>
    <w:tmpl w:val="5932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B3C56"/>
    <w:multiLevelType w:val="hybridMultilevel"/>
    <w:tmpl w:val="8160C6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EC0377"/>
    <w:multiLevelType w:val="multilevel"/>
    <w:tmpl w:val="30E6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C7513"/>
    <w:multiLevelType w:val="multilevel"/>
    <w:tmpl w:val="6A1E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02C3E"/>
    <w:multiLevelType w:val="multilevel"/>
    <w:tmpl w:val="202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F83314"/>
    <w:multiLevelType w:val="hybridMultilevel"/>
    <w:tmpl w:val="7308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F75360"/>
    <w:multiLevelType w:val="multilevel"/>
    <w:tmpl w:val="92F8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04067"/>
    <w:multiLevelType w:val="multilevel"/>
    <w:tmpl w:val="F61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7523FB"/>
    <w:multiLevelType w:val="multilevel"/>
    <w:tmpl w:val="37FE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A022DC"/>
    <w:multiLevelType w:val="hybridMultilevel"/>
    <w:tmpl w:val="26DA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F04CE9"/>
    <w:multiLevelType w:val="hybridMultilevel"/>
    <w:tmpl w:val="BC4644F2"/>
    <w:lvl w:ilvl="0" w:tplc="BDA280B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932A7A"/>
    <w:multiLevelType w:val="hybridMultilevel"/>
    <w:tmpl w:val="8F92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B3642"/>
    <w:multiLevelType w:val="multilevel"/>
    <w:tmpl w:val="75F22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6116FB"/>
    <w:multiLevelType w:val="hybridMultilevel"/>
    <w:tmpl w:val="F6E0AA48"/>
    <w:lvl w:ilvl="0" w:tplc="F6EED132">
      <w:numFmt w:val="bullet"/>
      <w:lvlText w:val="•"/>
      <w:lvlJc w:val="left"/>
      <w:pPr>
        <w:ind w:left="1575" w:hanging="855"/>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3919A5"/>
    <w:multiLevelType w:val="hybridMultilevel"/>
    <w:tmpl w:val="F8DA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0E66BF"/>
    <w:multiLevelType w:val="multilevel"/>
    <w:tmpl w:val="1AE4D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3"/>
  </w:num>
  <w:num w:numId="6">
    <w:abstractNumId w:val="16"/>
  </w:num>
  <w:num w:numId="7">
    <w:abstractNumId w:val="0"/>
  </w:num>
  <w:num w:numId="8">
    <w:abstractNumId w:val="19"/>
  </w:num>
  <w:num w:numId="9">
    <w:abstractNumId w:val="7"/>
  </w:num>
  <w:num w:numId="10">
    <w:abstractNumId w:val="10"/>
  </w:num>
  <w:num w:numId="11">
    <w:abstractNumId w:val="15"/>
  </w:num>
  <w:num w:numId="12">
    <w:abstractNumId w:val="17"/>
  </w:num>
  <w:num w:numId="13">
    <w:abstractNumId w:val="9"/>
  </w:num>
  <w:num w:numId="14">
    <w:abstractNumId w:val="13"/>
  </w:num>
  <w:num w:numId="15">
    <w:abstractNumId w:val="18"/>
  </w:num>
  <w:num w:numId="16">
    <w:abstractNumId w:val="12"/>
  </w:num>
  <w:num w:numId="17">
    <w:abstractNumId w:val="4"/>
  </w:num>
  <w:num w:numId="18">
    <w:abstractNumId w:val="11"/>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3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31B18"/>
    <w:rsid w:val="00000536"/>
    <w:rsid w:val="000012D7"/>
    <w:rsid w:val="00002283"/>
    <w:rsid w:val="000028FC"/>
    <w:rsid w:val="000041F0"/>
    <w:rsid w:val="000051CB"/>
    <w:rsid w:val="00005A10"/>
    <w:rsid w:val="000101C0"/>
    <w:rsid w:val="00010730"/>
    <w:rsid w:val="0001183A"/>
    <w:rsid w:val="000119DF"/>
    <w:rsid w:val="00014D57"/>
    <w:rsid w:val="000207F0"/>
    <w:rsid w:val="00021B8A"/>
    <w:rsid w:val="000239C6"/>
    <w:rsid w:val="00025C51"/>
    <w:rsid w:val="00026C15"/>
    <w:rsid w:val="00027089"/>
    <w:rsid w:val="00030585"/>
    <w:rsid w:val="00031A75"/>
    <w:rsid w:val="00031B2D"/>
    <w:rsid w:val="00031D14"/>
    <w:rsid w:val="00032187"/>
    <w:rsid w:val="00032A9B"/>
    <w:rsid w:val="00033685"/>
    <w:rsid w:val="0003488F"/>
    <w:rsid w:val="00034D46"/>
    <w:rsid w:val="00035471"/>
    <w:rsid w:val="00035B53"/>
    <w:rsid w:val="00042D4A"/>
    <w:rsid w:val="00043140"/>
    <w:rsid w:val="000434F4"/>
    <w:rsid w:val="0004421A"/>
    <w:rsid w:val="00045095"/>
    <w:rsid w:val="00046D3F"/>
    <w:rsid w:val="000479F9"/>
    <w:rsid w:val="00051D65"/>
    <w:rsid w:val="00052CB8"/>
    <w:rsid w:val="00052EEB"/>
    <w:rsid w:val="0005476C"/>
    <w:rsid w:val="000574DC"/>
    <w:rsid w:val="00062143"/>
    <w:rsid w:val="00062204"/>
    <w:rsid w:val="000627E8"/>
    <w:rsid w:val="00062A44"/>
    <w:rsid w:val="000639FE"/>
    <w:rsid w:val="00067741"/>
    <w:rsid w:val="0007192A"/>
    <w:rsid w:val="00071F92"/>
    <w:rsid w:val="00075CC0"/>
    <w:rsid w:val="00076698"/>
    <w:rsid w:val="00081D8D"/>
    <w:rsid w:val="0008206D"/>
    <w:rsid w:val="00082288"/>
    <w:rsid w:val="000850A0"/>
    <w:rsid w:val="000854BE"/>
    <w:rsid w:val="00085D8D"/>
    <w:rsid w:val="00086911"/>
    <w:rsid w:val="00087267"/>
    <w:rsid w:val="00090E4A"/>
    <w:rsid w:val="00091C44"/>
    <w:rsid w:val="000947C4"/>
    <w:rsid w:val="000948B0"/>
    <w:rsid w:val="000A017D"/>
    <w:rsid w:val="000A08B8"/>
    <w:rsid w:val="000A4A0A"/>
    <w:rsid w:val="000A6976"/>
    <w:rsid w:val="000A704E"/>
    <w:rsid w:val="000A76C6"/>
    <w:rsid w:val="000B18F2"/>
    <w:rsid w:val="000B3259"/>
    <w:rsid w:val="000B3843"/>
    <w:rsid w:val="000B65D5"/>
    <w:rsid w:val="000B7E30"/>
    <w:rsid w:val="000C0A73"/>
    <w:rsid w:val="000C2862"/>
    <w:rsid w:val="000C46EB"/>
    <w:rsid w:val="000C5E64"/>
    <w:rsid w:val="000D0621"/>
    <w:rsid w:val="000D40D6"/>
    <w:rsid w:val="000D5832"/>
    <w:rsid w:val="000D5D93"/>
    <w:rsid w:val="000D7D3D"/>
    <w:rsid w:val="000E1FF1"/>
    <w:rsid w:val="000E2687"/>
    <w:rsid w:val="000E5CA6"/>
    <w:rsid w:val="000E6767"/>
    <w:rsid w:val="000E677C"/>
    <w:rsid w:val="000E6A30"/>
    <w:rsid w:val="000E753E"/>
    <w:rsid w:val="000E7887"/>
    <w:rsid w:val="000E7E9D"/>
    <w:rsid w:val="000F0EF2"/>
    <w:rsid w:val="000F4580"/>
    <w:rsid w:val="00100CFA"/>
    <w:rsid w:val="00101464"/>
    <w:rsid w:val="00104774"/>
    <w:rsid w:val="0011334A"/>
    <w:rsid w:val="001151BA"/>
    <w:rsid w:val="00115463"/>
    <w:rsid w:val="0011660D"/>
    <w:rsid w:val="00117D2A"/>
    <w:rsid w:val="001210C5"/>
    <w:rsid w:val="00121D2C"/>
    <w:rsid w:val="001242E3"/>
    <w:rsid w:val="0012436E"/>
    <w:rsid w:val="0013038C"/>
    <w:rsid w:val="00132081"/>
    <w:rsid w:val="0013493B"/>
    <w:rsid w:val="00134AE1"/>
    <w:rsid w:val="001363DA"/>
    <w:rsid w:val="001375CC"/>
    <w:rsid w:val="00140A80"/>
    <w:rsid w:val="00140BD6"/>
    <w:rsid w:val="0014214C"/>
    <w:rsid w:val="00147451"/>
    <w:rsid w:val="001508F1"/>
    <w:rsid w:val="00151FA8"/>
    <w:rsid w:val="001537B4"/>
    <w:rsid w:val="0015437A"/>
    <w:rsid w:val="0015482D"/>
    <w:rsid w:val="001548BB"/>
    <w:rsid w:val="00155149"/>
    <w:rsid w:val="00155483"/>
    <w:rsid w:val="00156683"/>
    <w:rsid w:val="00160815"/>
    <w:rsid w:val="001617BF"/>
    <w:rsid w:val="00161F68"/>
    <w:rsid w:val="001622BF"/>
    <w:rsid w:val="00163D2D"/>
    <w:rsid w:val="00163E31"/>
    <w:rsid w:val="001646C6"/>
    <w:rsid w:val="00174F51"/>
    <w:rsid w:val="00175065"/>
    <w:rsid w:val="00176004"/>
    <w:rsid w:val="00176431"/>
    <w:rsid w:val="001773FA"/>
    <w:rsid w:val="00180F2A"/>
    <w:rsid w:val="001820FD"/>
    <w:rsid w:val="00184E0B"/>
    <w:rsid w:val="0019071B"/>
    <w:rsid w:val="00191CBD"/>
    <w:rsid w:val="001939D1"/>
    <w:rsid w:val="00195FB2"/>
    <w:rsid w:val="0019625B"/>
    <w:rsid w:val="00196C1B"/>
    <w:rsid w:val="001A0092"/>
    <w:rsid w:val="001A0563"/>
    <w:rsid w:val="001A2F3C"/>
    <w:rsid w:val="001A5586"/>
    <w:rsid w:val="001A5F1E"/>
    <w:rsid w:val="001B0CA4"/>
    <w:rsid w:val="001B2782"/>
    <w:rsid w:val="001B4B54"/>
    <w:rsid w:val="001B5F35"/>
    <w:rsid w:val="001C0913"/>
    <w:rsid w:val="001C35FF"/>
    <w:rsid w:val="001C5721"/>
    <w:rsid w:val="001C66AD"/>
    <w:rsid w:val="001D0722"/>
    <w:rsid w:val="001D1225"/>
    <w:rsid w:val="001D39CA"/>
    <w:rsid w:val="001D4BB9"/>
    <w:rsid w:val="001D55C7"/>
    <w:rsid w:val="001D577B"/>
    <w:rsid w:val="001D614D"/>
    <w:rsid w:val="001D7A78"/>
    <w:rsid w:val="001E0717"/>
    <w:rsid w:val="001E10F7"/>
    <w:rsid w:val="001E16C0"/>
    <w:rsid w:val="001E2BD3"/>
    <w:rsid w:val="001E529F"/>
    <w:rsid w:val="001E7CCC"/>
    <w:rsid w:val="001F163C"/>
    <w:rsid w:val="001F1E8B"/>
    <w:rsid w:val="001F27C4"/>
    <w:rsid w:val="001F296A"/>
    <w:rsid w:val="001F3DDC"/>
    <w:rsid w:val="001F41E9"/>
    <w:rsid w:val="001F4334"/>
    <w:rsid w:val="001F53CA"/>
    <w:rsid w:val="001F5915"/>
    <w:rsid w:val="001F7573"/>
    <w:rsid w:val="001F76C4"/>
    <w:rsid w:val="002002F4"/>
    <w:rsid w:val="00200531"/>
    <w:rsid w:val="002006FA"/>
    <w:rsid w:val="0020134F"/>
    <w:rsid w:val="0020288E"/>
    <w:rsid w:val="002035CA"/>
    <w:rsid w:val="00204057"/>
    <w:rsid w:val="00204646"/>
    <w:rsid w:val="00204FCB"/>
    <w:rsid w:val="002052CC"/>
    <w:rsid w:val="00207547"/>
    <w:rsid w:val="00211C4B"/>
    <w:rsid w:val="002150F3"/>
    <w:rsid w:val="002178AA"/>
    <w:rsid w:val="00221BFB"/>
    <w:rsid w:val="00221C5E"/>
    <w:rsid w:val="00224E39"/>
    <w:rsid w:val="00225004"/>
    <w:rsid w:val="0022589D"/>
    <w:rsid w:val="00225F4C"/>
    <w:rsid w:val="00227651"/>
    <w:rsid w:val="00231B0C"/>
    <w:rsid w:val="00232649"/>
    <w:rsid w:val="00232B4C"/>
    <w:rsid w:val="002344CA"/>
    <w:rsid w:val="00234D7A"/>
    <w:rsid w:val="0023705C"/>
    <w:rsid w:val="002376EC"/>
    <w:rsid w:val="00241331"/>
    <w:rsid w:val="002413EA"/>
    <w:rsid w:val="002422BF"/>
    <w:rsid w:val="0024256B"/>
    <w:rsid w:val="00242B9B"/>
    <w:rsid w:val="0024312F"/>
    <w:rsid w:val="002449BA"/>
    <w:rsid w:val="00245D14"/>
    <w:rsid w:val="0024795F"/>
    <w:rsid w:val="00247DCE"/>
    <w:rsid w:val="00253A06"/>
    <w:rsid w:val="00253A66"/>
    <w:rsid w:val="0025491A"/>
    <w:rsid w:val="00254B8B"/>
    <w:rsid w:val="00255721"/>
    <w:rsid w:val="00255D17"/>
    <w:rsid w:val="00255E1F"/>
    <w:rsid w:val="00257DCF"/>
    <w:rsid w:val="00260142"/>
    <w:rsid w:val="00260C8D"/>
    <w:rsid w:val="00262766"/>
    <w:rsid w:val="00264B60"/>
    <w:rsid w:val="00264DFC"/>
    <w:rsid w:val="00265C0B"/>
    <w:rsid w:val="00266133"/>
    <w:rsid w:val="00267513"/>
    <w:rsid w:val="0027080D"/>
    <w:rsid w:val="0027188A"/>
    <w:rsid w:val="002726C2"/>
    <w:rsid w:val="002727D7"/>
    <w:rsid w:val="002736B3"/>
    <w:rsid w:val="00273C86"/>
    <w:rsid w:val="00273E8D"/>
    <w:rsid w:val="00273EDE"/>
    <w:rsid w:val="0027451C"/>
    <w:rsid w:val="002749BF"/>
    <w:rsid w:val="00276E70"/>
    <w:rsid w:val="0027741D"/>
    <w:rsid w:val="00280C31"/>
    <w:rsid w:val="00281BFE"/>
    <w:rsid w:val="0028278D"/>
    <w:rsid w:val="00286161"/>
    <w:rsid w:val="002911D8"/>
    <w:rsid w:val="00292C62"/>
    <w:rsid w:val="0029350F"/>
    <w:rsid w:val="00295E8A"/>
    <w:rsid w:val="00297C75"/>
    <w:rsid w:val="002A12DE"/>
    <w:rsid w:val="002A1A14"/>
    <w:rsid w:val="002A23EB"/>
    <w:rsid w:val="002A31FA"/>
    <w:rsid w:val="002A6E84"/>
    <w:rsid w:val="002A727E"/>
    <w:rsid w:val="002B003F"/>
    <w:rsid w:val="002B08AC"/>
    <w:rsid w:val="002B1641"/>
    <w:rsid w:val="002C15E9"/>
    <w:rsid w:val="002C2D1E"/>
    <w:rsid w:val="002C3065"/>
    <w:rsid w:val="002C33EF"/>
    <w:rsid w:val="002C464A"/>
    <w:rsid w:val="002C52D9"/>
    <w:rsid w:val="002C6C23"/>
    <w:rsid w:val="002D0B8D"/>
    <w:rsid w:val="002D1D56"/>
    <w:rsid w:val="002D3219"/>
    <w:rsid w:val="002D45FA"/>
    <w:rsid w:val="002D7016"/>
    <w:rsid w:val="002E28C3"/>
    <w:rsid w:val="002E46C1"/>
    <w:rsid w:val="002E5BEE"/>
    <w:rsid w:val="002F0A4B"/>
    <w:rsid w:val="002F0C20"/>
    <w:rsid w:val="002F2FBB"/>
    <w:rsid w:val="002F530F"/>
    <w:rsid w:val="002F5451"/>
    <w:rsid w:val="00301840"/>
    <w:rsid w:val="003026A0"/>
    <w:rsid w:val="00302E29"/>
    <w:rsid w:val="0030407F"/>
    <w:rsid w:val="00304233"/>
    <w:rsid w:val="00304D2D"/>
    <w:rsid w:val="0030552B"/>
    <w:rsid w:val="00306254"/>
    <w:rsid w:val="00306260"/>
    <w:rsid w:val="00306D03"/>
    <w:rsid w:val="0031008B"/>
    <w:rsid w:val="00310493"/>
    <w:rsid w:val="00313DEB"/>
    <w:rsid w:val="00316339"/>
    <w:rsid w:val="0031700E"/>
    <w:rsid w:val="00320BDB"/>
    <w:rsid w:val="003224B7"/>
    <w:rsid w:val="00322C83"/>
    <w:rsid w:val="0032313C"/>
    <w:rsid w:val="003234B2"/>
    <w:rsid w:val="00323510"/>
    <w:rsid w:val="00324B1F"/>
    <w:rsid w:val="00327076"/>
    <w:rsid w:val="003270C9"/>
    <w:rsid w:val="00330505"/>
    <w:rsid w:val="003319CF"/>
    <w:rsid w:val="00331B18"/>
    <w:rsid w:val="00331C6B"/>
    <w:rsid w:val="00332D11"/>
    <w:rsid w:val="003336DD"/>
    <w:rsid w:val="00334443"/>
    <w:rsid w:val="0034033F"/>
    <w:rsid w:val="00340DC8"/>
    <w:rsid w:val="00341971"/>
    <w:rsid w:val="0034201C"/>
    <w:rsid w:val="0034259B"/>
    <w:rsid w:val="00343D49"/>
    <w:rsid w:val="00346655"/>
    <w:rsid w:val="003475D9"/>
    <w:rsid w:val="00350898"/>
    <w:rsid w:val="00351079"/>
    <w:rsid w:val="00351A36"/>
    <w:rsid w:val="003533F4"/>
    <w:rsid w:val="00353A9C"/>
    <w:rsid w:val="003545EB"/>
    <w:rsid w:val="00355072"/>
    <w:rsid w:val="00355A66"/>
    <w:rsid w:val="00355AC7"/>
    <w:rsid w:val="003605E9"/>
    <w:rsid w:val="00361092"/>
    <w:rsid w:val="00361961"/>
    <w:rsid w:val="00361E94"/>
    <w:rsid w:val="00363BC9"/>
    <w:rsid w:val="00364BE8"/>
    <w:rsid w:val="00364C8A"/>
    <w:rsid w:val="0036561A"/>
    <w:rsid w:val="0036574B"/>
    <w:rsid w:val="0037010A"/>
    <w:rsid w:val="00370DFE"/>
    <w:rsid w:val="0037140E"/>
    <w:rsid w:val="003744FB"/>
    <w:rsid w:val="0037475D"/>
    <w:rsid w:val="003748AE"/>
    <w:rsid w:val="003755FD"/>
    <w:rsid w:val="003803CA"/>
    <w:rsid w:val="00380F80"/>
    <w:rsid w:val="00381AAD"/>
    <w:rsid w:val="00384E86"/>
    <w:rsid w:val="00385780"/>
    <w:rsid w:val="00386642"/>
    <w:rsid w:val="00387460"/>
    <w:rsid w:val="0039042A"/>
    <w:rsid w:val="00395594"/>
    <w:rsid w:val="003960B4"/>
    <w:rsid w:val="00396A1D"/>
    <w:rsid w:val="0039797C"/>
    <w:rsid w:val="003A0125"/>
    <w:rsid w:val="003A0530"/>
    <w:rsid w:val="003A178B"/>
    <w:rsid w:val="003A3C17"/>
    <w:rsid w:val="003A4D6B"/>
    <w:rsid w:val="003A5602"/>
    <w:rsid w:val="003A5C59"/>
    <w:rsid w:val="003A66E2"/>
    <w:rsid w:val="003A6CC8"/>
    <w:rsid w:val="003A7A6D"/>
    <w:rsid w:val="003A7B0F"/>
    <w:rsid w:val="003B36E8"/>
    <w:rsid w:val="003B56ED"/>
    <w:rsid w:val="003B6294"/>
    <w:rsid w:val="003B7172"/>
    <w:rsid w:val="003C01AA"/>
    <w:rsid w:val="003C219B"/>
    <w:rsid w:val="003C2533"/>
    <w:rsid w:val="003C44C8"/>
    <w:rsid w:val="003C5041"/>
    <w:rsid w:val="003C7031"/>
    <w:rsid w:val="003C7394"/>
    <w:rsid w:val="003C7834"/>
    <w:rsid w:val="003C7AB6"/>
    <w:rsid w:val="003D1086"/>
    <w:rsid w:val="003D1C4D"/>
    <w:rsid w:val="003D4140"/>
    <w:rsid w:val="003D5161"/>
    <w:rsid w:val="003D66E5"/>
    <w:rsid w:val="003D6C72"/>
    <w:rsid w:val="003E07EE"/>
    <w:rsid w:val="003E2326"/>
    <w:rsid w:val="003E2EFE"/>
    <w:rsid w:val="003E3463"/>
    <w:rsid w:val="003E3B7F"/>
    <w:rsid w:val="003E6B2C"/>
    <w:rsid w:val="003F0B6A"/>
    <w:rsid w:val="003F0BA0"/>
    <w:rsid w:val="003F1659"/>
    <w:rsid w:val="003F2A23"/>
    <w:rsid w:val="004006A8"/>
    <w:rsid w:val="004020CC"/>
    <w:rsid w:val="004065B4"/>
    <w:rsid w:val="004076BF"/>
    <w:rsid w:val="00407DE3"/>
    <w:rsid w:val="00413634"/>
    <w:rsid w:val="00416903"/>
    <w:rsid w:val="00417DD3"/>
    <w:rsid w:val="00420250"/>
    <w:rsid w:val="0042085E"/>
    <w:rsid w:val="00420C94"/>
    <w:rsid w:val="00421512"/>
    <w:rsid w:val="00421C6A"/>
    <w:rsid w:val="0042385B"/>
    <w:rsid w:val="00423CCF"/>
    <w:rsid w:val="00425008"/>
    <w:rsid w:val="00425B16"/>
    <w:rsid w:val="00426F64"/>
    <w:rsid w:val="00427AAB"/>
    <w:rsid w:val="004306B0"/>
    <w:rsid w:val="00432ACF"/>
    <w:rsid w:val="004407E5"/>
    <w:rsid w:val="00442786"/>
    <w:rsid w:val="0044540A"/>
    <w:rsid w:val="00446535"/>
    <w:rsid w:val="004470CF"/>
    <w:rsid w:val="00447B6C"/>
    <w:rsid w:val="00452C37"/>
    <w:rsid w:val="004536CD"/>
    <w:rsid w:val="00453D57"/>
    <w:rsid w:val="00454582"/>
    <w:rsid w:val="0045648A"/>
    <w:rsid w:val="00457943"/>
    <w:rsid w:val="00464F10"/>
    <w:rsid w:val="00465BD7"/>
    <w:rsid w:val="004663BA"/>
    <w:rsid w:val="00467F06"/>
    <w:rsid w:val="004704A2"/>
    <w:rsid w:val="0047187B"/>
    <w:rsid w:val="00472CBC"/>
    <w:rsid w:val="00474391"/>
    <w:rsid w:val="00476B1D"/>
    <w:rsid w:val="00480F24"/>
    <w:rsid w:val="00482209"/>
    <w:rsid w:val="00482460"/>
    <w:rsid w:val="00483CFF"/>
    <w:rsid w:val="00483DEA"/>
    <w:rsid w:val="004849C6"/>
    <w:rsid w:val="00485EB9"/>
    <w:rsid w:val="004918DF"/>
    <w:rsid w:val="00491F61"/>
    <w:rsid w:val="004936CF"/>
    <w:rsid w:val="00494286"/>
    <w:rsid w:val="00494BF7"/>
    <w:rsid w:val="00495633"/>
    <w:rsid w:val="00495CEE"/>
    <w:rsid w:val="004976EB"/>
    <w:rsid w:val="004A114D"/>
    <w:rsid w:val="004A1426"/>
    <w:rsid w:val="004A285B"/>
    <w:rsid w:val="004A47B5"/>
    <w:rsid w:val="004B0E5F"/>
    <w:rsid w:val="004B14F7"/>
    <w:rsid w:val="004B16B6"/>
    <w:rsid w:val="004B6EE2"/>
    <w:rsid w:val="004C039D"/>
    <w:rsid w:val="004C157F"/>
    <w:rsid w:val="004C1B38"/>
    <w:rsid w:val="004C21D3"/>
    <w:rsid w:val="004C771F"/>
    <w:rsid w:val="004C7AA5"/>
    <w:rsid w:val="004D2C3D"/>
    <w:rsid w:val="004D3A90"/>
    <w:rsid w:val="004D3BAB"/>
    <w:rsid w:val="004D676B"/>
    <w:rsid w:val="004D6A0A"/>
    <w:rsid w:val="004D720C"/>
    <w:rsid w:val="004D7E78"/>
    <w:rsid w:val="004E116D"/>
    <w:rsid w:val="004E17C1"/>
    <w:rsid w:val="004E3030"/>
    <w:rsid w:val="004E3BBC"/>
    <w:rsid w:val="004E41B0"/>
    <w:rsid w:val="004E43DF"/>
    <w:rsid w:val="004E5452"/>
    <w:rsid w:val="004E67DE"/>
    <w:rsid w:val="004F05D5"/>
    <w:rsid w:val="004F106F"/>
    <w:rsid w:val="004F3F4A"/>
    <w:rsid w:val="004F4AE3"/>
    <w:rsid w:val="0050292D"/>
    <w:rsid w:val="00503541"/>
    <w:rsid w:val="00504BB6"/>
    <w:rsid w:val="00505DF6"/>
    <w:rsid w:val="0050621E"/>
    <w:rsid w:val="00512BD4"/>
    <w:rsid w:val="005137B1"/>
    <w:rsid w:val="00516F96"/>
    <w:rsid w:val="0052089C"/>
    <w:rsid w:val="00520DD1"/>
    <w:rsid w:val="005223A5"/>
    <w:rsid w:val="00522593"/>
    <w:rsid w:val="005230A0"/>
    <w:rsid w:val="00524576"/>
    <w:rsid w:val="00525ABA"/>
    <w:rsid w:val="005303D4"/>
    <w:rsid w:val="005307F0"/>
    <w:rsid w:val="005320F3"/>
    <w:rsid w:val="00532CB1"/>
    <w:rsid w:val="005334E9"/>
    <w:rsid w:val="00533EB7"/>
    <w:rsid w:val="0053625F"/>
    <w:rsid w:val="00536442"/>
    <w:rsid w:val="005365D7"/>
    <w:rsid w:val="005412D6"/>
    <w:rsid w:val="0054299A"/>
    <w:rsid w:val="005430DA"/>
    <w:rsid w:val="00545D63"/>
    <w:rsid w:val="00545D70"/>
    <w:rsid w:val="00546316"/>
    <w:rsid w:val="005463FA"/>
    <w:rsid w:val="005469D8"/>
    <w:rsid w:val="005475E5"/>
    <w:rsid w:val="00547EAD"/>
    <w:rsid w:val="00551D33"/>
    <w:rsid w:val="00552C41"/>
    <w:rsid w:val="00555B40"/>
    <w:rsid w:val="005564FE"/>
    <w:rsid w:val="00562644"/>
    <w:rsid w:val="00562A49"/>
    <w:rsid w:val="005651B2"/>
    <w:rsid w:val="00570211"/>
    <w:rsid w:val="0057087C"/>
    <w:rsid w:val="005729D4"/>
    <w:rsid w:val="00572B3A"/>
    <w:rsid w:val="00576B11"/>
    <w:rsid w:val="00577E85"/>
    <w:rsid w:val="00587E97"/>
    <w:rsid w:val="00590944"/>
    <w:rsid w:val="005931D3"/>
    <w:rsid w:val="0059470A"/>
    <w:rsid w:val="005965F6"/>
    <w:rsid w:val="0059698D"/>
    <w:rsid w:val="005A00F8"/>
    <w:rsid w:val="005A06F1"/>
    <w:rsid w:val="005A0A5C"/>
    <w:rsid w:val="005A151A"/>
    <w:rsid w:val="005A2487"/>
    <w:rsid w:val="005A4AA6"/>
    <w:rsid w:val="005A4F09"/>
    <w:rsid w:val="005A5F14"/>
    <w:rsid w:val="005B12B9"/>
    <w:rsid w:val="005B4701"/>
    <w:rsid w:val="005B52D6"/>
    <w:rsid w:val="005B71DA"/>
    <w:rsid w:val="005B784B"/>
    <w:rsid w:val="005B7982"/>
    <w:rsid w:val="005C0003"/>
    <w:rsid w:val="005C3686"/>
    <w:rsid w:val="005C3F0F"/>
    <w:rsid w:val="005C48AD"/>
    <w:rsid w:val="005C4E9A"/>
    <w:rsid w:val="005C4F78"/>
    <w:rsid w:val="005C51E9"/>
    <w:rsid w:val="005C5890"/>
    <w:rsid w:val="005C6312"/>
    <w:rsid w:val="005C6331"/>
    <w:rsid w:val="005C6CE3"/>
    <w:rsid w:val="005C6E7A"/>
    <w:rsid w:val="005C7323"/>
    <w:rsid w:val="005C789B"/>
    <w:rsid w:val="005C7F08"/>
    <w:rsid w:val="005D0CBE"/>
    <w:rsid w:val="005D41C4"/>
    <w:rsid w:val="005D5E66"/>
    <w:rsid w:val="005D6362"/>
    <w:rsid w:val="005D6E6B"/>
    <w:rsid w:val="005D7B12"/>
    <w:rsid w:val="005E3786"/>
    <w:rsid w:val="005E48F4"/>
    <w:rsid w:val="005E4992"/>
    <w:rsid w:val="005E4ECF"/>
    <w:rsid w:val="005E51D3"/>
    <w:rsid w:val="005E5F96"/>
    <w:rsid w:val="005E6BA3"/>
    <w:rsid w:val="005E7DE3"/>
    <w:rsid w:val="005F0437"/>
    <w:rsid w:val="005F098F"/>
    <w:rsid w:val="005F22A1"/>
    <w:rsid w:val="005F330E"/>
    <w:rsid w:val="005F5C96"/>
    <w:rsid w:val="00601AAB"/>
    <w:rsid w:val="006030EE"/>
    <w:rsid w:val="0060476D"/>
    <w:rsid w:val="00605A66"/>
    <w:rsid w:val="00606827"/>
    <w:rsid w:val="00606C3D"/>
    <w:rsid w:val="00606F67"/>
    <w:rsid w:val="006113C5"/>
    <w:rsid w:val="00611D48"/>
    <w:rsid w:val="00611F44"/>
    <w:rsid w:val="00615BEA"/>
    <w:rsid w:val="0062006B"/>
    <w:rsid w:val="006203FD"/>
    <w:rsid w:val="0062068B"/>
    <w:rsid w:val="00621856"/>
    <w:rsid w:val="00622240"/>
    <w:rsid w:val="0062433E"/>
    <w:rsid w:val="0062523D"/>
    <w:rsid w:val="006255CA"/>
    <w:rsid w:val="0062591A"/>
    <w:rsid w:val="0062727F"/>
    <w:rsid w:val="00627A00"/>
    <w:rsid w:val="006306FA"/>
    <w:rsid w:val="0063330F"/>
    <w:rsid w:val="00634390"/>
    <w:rsid w:val="00636507"/>
    <w:rsid w:val="00641186"/>
    <w:rsid w:val="00642825"/>
    <w:rsid w:val="00642C5E"/>
    <w:rsid w:val="006438AE"/>
    <w:rsid w:val="00643BF0"/>
    <w:rsid w:val="00645433"/>
    <w:rsid w:val="006458DB"/>
    <w:rsid w:val="00645F0E"/>
    <w:rsid w:val="006474EE"/>
    <w:rsid w:val="0065032F"/>
    <w:rsid w:val="006510D6"/>
    <w:rsid w:val="00655B5D"/>
    <w:rsid w:val="00655E93"/>
    <w:rsid w:val="006648F2"/>
    <w:rsid w:val="006657A7"/>
    <w:rsid w:val="00666D88"/>
    <w:rsid w:val="00671DD3"/>
    <w:rsid w:val="0067480F"/>
    <w:rsid w:val="00674E63"/>
    <w:rsid w:val="00677C0C"/>
    <w:rsid w:val="006814BC"/>
    <w:rsid w:val="006840A2"/>
    <w:rsid w:val="00685309"/>
    <w:rsid w:val="006854DA"/>
    <w:rsid w:val="00687FC2"/>
    <w:rsid w:val="0069346C"/>
    <w:rsid w:val="00694065"/>
    <w:rsid w:val="00695213"/>
    <w:rsid w:val="00696A4E"/>
    <w:rsid w:val="006A03C8"/>
    <w:rsid w:val="006A1659"/>
    <w:rsid w:val="006A739D"/>
    <w:rsid w:val="006A75C2"/>
    <w:rsid w:val="006B0D64"/>
    <w:rsid w:val="006B0E64"/>
    <w:rsid w:val="006B1324"/>
    <w:rsid w:val="006B1512"/>
    <w:rsid w:val="006B3512"/>
    <w:rsid w:val="006B3A71"/>
    <w:rsid w:val="006B3B69"/>
    <w:rsid w:val="006B4976"/>
    <w:rsid w:val="006C1002"/>
    <w:rsid w:val="006C107A"/>
    <w:rsid w:val="006C3B30"/>
    <w:rsid w:val="006D0113"/>
    <w:rsid w:val="006D0709"/>
    <w:rsid w:val="006D1822"/>
    <w:rsid w:val="006D39C5"/>
    <w:rsid w:val="006D3EA4"/>
    <w:rsid w:val="006D49D5"/>
    <w:rsid w:val="006D5889"/>
    <w:rsid w:val="006D6905"/>
    <w:rsid w:val="006D767C"/>
    <w:rsid w:val="006D78B9"/>
    <w:rsid w:val="006E0439"/>
    <w:rsid w:val="006E177E"/>
    <w:rsid w:val="006E196B"/>
    <w:rsid w:val="006E40C3"/>
    <w:rsid w:val="006E58D1"/>
    <w:rsid w:val="006E6083"/>
    <w:rsid w:val="006F0BBC"/>
    <w:rsid w:val="006F0E44"/>
    <w:rsid w:val="006F12EE"/>
    <w:rsid w:val="006F16E8"/>
    <w:rsid w:val="006F2D04"/>
    <w:rsid w:val="006F35F2"/>
    <w:rsid w:val="006F4416"/>
    <w:rsid w:val="006F4589"/>
    <w:rsid w:val="006F4B85"/>
    <w:rsid w:val="006F4DC0"/>
    <w:rsid w:val="006F6151"/>
    <w:rsid w:val="006F6F43"/>
    <w:rsid w:val="006F7F13"/>
    <w:rsid w:val="00700B01"/>
    <w:rsid w:val="007030C5"/>
    <w:rsid w:val="0070376D"/>
    <w:rsid w:val="00703F0C"/>
    <w:rsid w:val="007058FA"/>
    <w:rsid w:val="007059CD"/>
    <w:rsid w:val="007063E7"/>
    <w:rsid w:val="00706DBC"/>
    <w:rsid w:val="007103A6"/>
    <w:rsid w:val="007105F8"/>
    <w:rsid w:val="0071217C"/>
    <w:rsid w:val="00713CEB"/>
    <w:rsid w:val="007157DE"/>
    <w:rsid w:val="00716623"/>
    <w:rsid w:val="00717375"/>
    <w:rsid w:val="007202E3"/>
    <w:rsid w:val="007231B3"/>
    <w:rsid w:val="007239C1"/>
    <w:rsid w:val="0072445A"/>
    <w:rsid w:val="00724E61"/>
    <w:rsid w:val="0072576B"/>
    <w:rsid w:val="00726AAD"/>
    <w:rsid w:val="0072750F"/>
    <w:rsid w:val="00731948"/>
    <w:rsid w:val="00733255"/>
    <w:rsid w:val="00736B67"/>
    <w:rsid w:val="00737783"/>
    <w:rsid w:val="00737E20"/>
    <w:rsid w:val="007427B7"/>
    <w:rsid w:val="0074298A"/>
    <w:rsid w:val="00745038"/>
    <w:rsid w:val="007457B7"/>
    <w:rsid w:val="007469E4"/>
    <w:rsid w:val="00751822"/>
    <w:rsid w:val="00751E89"/>
    <w:rsid w:val="00751F90"/>
    <w:rsid w:val="00752710"/>
    <w:rsid w:val="00753470"/>
    <w:rsid w:val="00757EFA"/>
    <w:rsid w:val="00762859"/>
    <w:rsid w:val="00762AA7"/>
    <w:rsid w:val="00763194"/>
    <w:rsid w:val="007639BE"/>
    <w:rsid w:val="00764DF5"/>
    <w:rsid w:val="00765808"/>
    <w:rsid w:val="0076659F"/>
    <w:rsid w:val="007668C1"/>
    <w:rsid w:val="00767441"/>
    <w:rsid w:val="00770C0A"/>
    <w:rsid w:val="007710A3"/>
    <w:rsid w:val="00771CDC"/>
    <w:rsid w:val="0077645D"/>
    <w:rsid w:val="00780635"/>
    <w:rsid w:val="007811CA"/>
    <w:rsid w:val="00782BF1"/>
    <w:rsid w:val="00783321"/>
    <w:rsid w:val="00784921"/>
    <w:rsid w:val="00785B96"/>
    <w:rsid w:val="00790324"/>
    <w:rsid w:val="00792561"/>
    <w:rsid w:val="00792A8A"/>
    <w:rsid w:val="00793824"/>
    <w:rsid w:val="00793D75"/>
    <w:rsid w:val="0079482A"/>
    <w:rsid w:val="00794EBC"/>
    <w:rsid w:val="00794F34"/>
    <w:rsid w:val="007960FD"/>
    <w:rsid w:val="007A0A61"/>
    <w:rsid w:val="007A15FC"/>
    <w:rsid w:val="007A31F0"/>
    <w:rsid w:val="007A3739"/>
    <w:rsid w:val="007A47FD"/>
    <w:rsid w:val="007B0CB0"/>
    <w:rsid w:val="007B1F14"/>
    <w:rsid w:val="007B20A3"/>
    <w:rsid w:val="007B23CE"/>
    <w:rsid w:val="007B2565"/>
    <w:rsid w:val="007B3B6F"/>
    <w:rsid w:val="007B7831"/>
    <w:rsid w:val="007B7A20"/>
    <w:rsid w:val="007C30FF"/>
    <w:rsid w:val="007C65C4"/>
    <w:rsid w:val="007C692E"/>
    <w:rsid w:val="007C6E3E"/>
    <w:rsid w:val="007C7336"/>
    <w:rsid w:val="007C77D9"/>
    <w:rsid w:val="007D1259"/>
    <w:rsid w:val="007D62D6"/>
    <w:rsid w:val="007D6748"/>
    <w:rsid w:val="007D7917"/>
    <w:rsid w:val="007D79F1"/>
    <w:rsid w:val="007D7AAA"/>
    <w:rsid w:val="007E07E1"/>
    <w:rsid w:val="007E3E72"/>
    <w:rsid w:val="007E4096"/>
    <w:rsid w:val="007E5918"/>
    <w:rsid w:val="007F0D58"/>
    <w:rsid w:val="007F158B"/>
    <w:rsid w:val="007F1FC1"/>
    <w:rsid w:val="007F23AF"/>
    <w:rsid w:val="007F3ED9"/>
    <w:rsid w:val="007F4D73"/>
    <w:rsid w:val="007F7327"/>
    <w:rsid w:val="007F7786"/>
    <w:rsid w:val="00800493"/>
    <w:rsid w:val="00801034"/>
    <w:rsid w:val="008041FD"/>
    <w:rsid w:val="0080449B"/>
    <w:rsid w:val="008053CE"/>
    <w:rsid w:val="0080628F"/>
    <w:rsid w:val="00812027"/>
    <w:rsid w:val="00816BF1"/>
    <w:rsid w:val="00816CB9"/>
    <w:rsid w:val="0081747E"/>
    <w:rsid w:val="008204DE"/>
    <w:rsid w:val="00820DB9"/>
    <w:rsid w:val="00822DE8"/>
    <w:rsid w:val="00824746"/>
    <w:rsid w:val="00826006"/>
    <w:rsid w:val="008274F9"/>
    <w:rsid w:val="00831F73"/>
    <w:rsid w:val="008333AE"/>
    <w:rsid w:val="008335F7"/>
    <w:rsid w:val="00833980"/>
    <w:rsid w:val="008346AD"/>
    <w:rsid w:val="00836869"/>
    <w:rsid w:val="00842D96"/>
    <w:rsid w:val="008436B5"/>
    <w:rsid w:val="0084462A"/>
    <w:rsid w:val="00845015"/>
    <w:rsid w:val="008458C4"/>
    <w:rsid w:val="00845FCB"/>
    <w:rsid w:val="00846FDD"/>
    <w:rsid w:val="0084776F"/>
    <w:rsid w:val="0085082F"/>
    <w:rsid w:val="00850D32"/>
    <w:rsid w:val="0085164C"/>
    <w:rsid w:val="00852913"/>
    <w:rsid w:val="0085372B"/>
    <w:rsid w:val="0085483A"/>
    <w:rsid w:val="00855A83"/>
    <w:rsid w:val="00856C4D"/>
    <w:rsid w:val="008601CF"/>
    <w:rsid w:val="00861476"/>
    <w:rsid w:val="00861752"/>
    <w:rsid w:val="00862E95"/>
    <w:rsid w:val="00863311"/>
    <w:rsid w:val="00863A81"/>
    <w:rsid w:val="00863F62"/>
    <w:rsid w:val="0086516A"/>
    <w:rsid w:val="008661E9"/>
    <w:rsid w:val="008724C8"/>
    <w:rsid w:val="008724EC"/>
    <w:rsid w:val="00872838"/>
    <w:rsid w:val="00873807"/>
    <w:rsid w:val="00874F0F"/>
    <w:rsid w:val="00876BC5"/>
    <w:rsid w:val="00877975"/>
    <w:rsid w:val="00880848"/>
    <w:rsid w:val="00880BA2"/>
    <w:rsid w:val="00882872"/>
    <w:rsid w:val="00883D2D"/>
    <w:rsid w:val="00884D57"/>
    <w:rsid w:val="00884F47"/>
    <w:rsid w:val="008860CE"/>
    <w:rsid w:val="00887A43"/>
    <w:rsid w:val="00890051"/>
    <w:rsid w:val="00892470"/>
    <w:rsid w:val="00892E01"/>
    <w:rsid w:val="0089492C"/>
    <w:rsid w:val="008A76C5"/>
    <w:rsid w:val="008B112F"/>
    <w:rsid w:val="008B3F2A"/>
    <w:rsid w:val="008B4456"/>
    <w:rsid w:val="008B60FE"/>
    <w:rsid w:val="008B6FE3"/>
    <w:rsid w:val="008B7968"/>
    <w:rsid w:val="008C0B9F"/>
    <w:rsid w:val="008C19C3"/>
    <w:rsid w:val="008C3774"/>
    <w:rsid w:val="008C696C"/>
    <w:rsid w:val="008C6A7E"/>
    <w:rsid w:val="008C6E14"/>
    <w:rsid w:val="008C715D"/>
    <w:rsid w:val="008D1630"/>
    <w:rsid w:val="008D5FEB"/>
    <w:rsid w:val="008D6F48"/>
    <w:rsid w:val="008D74BB"/>
    <w:rsid w:val="008D7EDB"/>
    <w:rsid w:val="008E20E7"/>
    <w:rsid w:val="008E3CCA"/>
    <w:rsid w:val="008E4F88"/>
    <w:rsid w:val="008E664F"/>
    <w:rsid w:val="008E7D9D"/>
    <w:rsid w:val="008F0551"/>
    <w:rsid w:val="008F061F"/>
    <w:rsid w:val="008F1BA3"/>
    <w:rsid w:val="008F2A05"/>
    <w:rsid w:val="008F4CF4"/>
    <w:rsid w:val="008F536E"/>
    <w:rsid w:val="008F6765"/>
    <w:rsid w:val="008F74D6"/>
    <w:rsid w:val="009016EA"/>
    <w:rsid w:val="00902818"/>
    <w:rsid w:val="009030B5"/>
    <w:rsid w:val="009032D8"/>
    <w:rsid w:val="00903616"/>
    <w:rsid w:val="00905094"/>
    <w:rsid w:val="009102B7"/>
    <w:rsid w:val="00912DCB"/>
    <w:rsid w:val="00913BB0"/>
    <w:rsid w:val="009155E9"/>
    <w:rsid w:val="00915868"/>
    <w:rsid w:val="00916DA4"/>
    <w:rsid w:val="0092108B"/>
    <w:rsid w:val="00922C77"/>
    <w:rsid w:val="00922FA1"/>
    <w:rsid w:val="00923868"/>
    <w:rsid w:val="00923BF0"/>
    <w:rsid w:val="0092472D"/>
    <w:rsid w:val="00924A2E"/>
    <w:rsid w:val="009262EB"/>
    <w:rsid w:val="00926713"/>
    <w:rsid w:val="00926869"/>
    <w:rsid w:val="009277E7"/>
    <w:rsid w:val="009305C7"/>
    <w:rsid w:val="00930C04"/>
    <w:rsid w:val="00931B59"/>
    <w:rsid w:val="00932D6D"/>
    <w:rsid w:val="00933BC7"/>
    <w:rsid w:val="00935510"/>
    <w:rsid w:val="00936C63"/>
    <w:rsid w:val="0093757F"/>
    <w:rsid w:val="00937CC2"/>
    <w:rsid w:val="00940057"/>
    <w:rsid w:val="00940B7D"/>
    <w:rsid w:val="009415E1"/>
    <w:rsid w:val="0094200A"/>
    <w:rsid w:val="00945427"/>
    <w:rsid w:val="00947D12"/>
    <w:rsid w:val="009508A6"/>
    <w:rsid w:val="0095170B"/>
    <w:rsid w:val="00951764"/>
    <w:rsid w:val="00951E03"/>
    <w:rsid w:val="0095414C"/>
    <w:rsid w:val="00956D6C"/>
    <w:rsid w:val="009621D4"/>
    <w:rsid w:val="0096329F"/>
    <w:rsid w:val="009720EE"/>
    <w:rsid w:val="00972E0E"/>
    <w:rsid w:val="00973972"/>
    <w:rsid w:val="00974712"/>
    <w:rsid w:val="009763E0"/>
    <w:rsid w:val="00976E02"/>
    <w:rsid w:val="00976E82"/>
    <w:rsid w:val="00980321"/>
    <w:rsid w:val="00982E05"/>
    <w:rsid w:val="00983C73"/>
    <w:rsid w:val="009842D1"/>
    <w:rsid w:val="009862B9"/>
    <w:rsid w:val="00986D98"/>
    <w:rsid w:val="00987073"/>
    <w:rsid w:val="00993AB8"/>
    <w:rsid w:val="00994618"/>
    <w:rsid w:val="00995148"/>
    <w:rsid w:val="00997EDF"/>
    <w:rsid w:val="009A1193"/>
    <w:rsid w:val="009A5065"/>
    <w:rsid w:val="009A529B"/>
    <w:rsid w:val="009A6B0C"/>
    <w:rsid w:val="009B1924"/>
    <w:rsid w:val="009B29EE"/>
    <w:rsid w:val="009B573A"/>
    <w:rsid w:val="009B72C9"/>
    <w:rsid w:val="009C0FD0"/>
    <w:rsid w:val="009C1B96"/>
    <w:rsid w:val="009C31F7"/>
    <w:rsid w:val="009C36A3"/>
    <w:rsid w:val="009C6249"/>
    <w:rsid w:val="009C7849"/>
    <w:rsid w:val="009D0452"/>
    <w:rsid w:val="009D050A"/>
    <w:rsid w:val="009D05E5"/>
    <w:rsid w:val="009D25DA"/>
    <w:rsid w:val="009D273F"/>
    <w:rsid w:val="009D33DC"/>
    <w:rsid w:val="009D5E78"/>
    <w:rsid w:val="009E09A8"/>
    <w:rsid w:val="009E0C3B"/>
    <w:rsid w:val="009E7519"/>
    <w:rsid w:val="009E7795"/>
    <w:rsid w:val="009E7BA9"/>
    <w:rsid w:val="009F17B0"/>
    <w:rsid w:val="009F190F"/>
    <w:rsid w:val="009F1B47"/>
    <w:rsid w:val="009F3EA0"/>
    <w:rsid w:val="009F4385"/>
    <w:rsid w:val="009F6697"/>
    <w:rsid w:val="009F7DBE"/>
    <w:rsid w:val="00A00813"/>
    <w:rsid w:val="00A00D54"/>
    <w:rsid w:val="00A0302F"/>
    <w:rsid w:val="00A035D6"/>
    <w:rsid w:val="00A060AE"/>
    <w:rsid w:val="00A07A82"/>
    <w:rsid w:val="00A07DC3"/>
    <w:rsid w:val="00A07F34"/>
    <w:rsid w:val="00A129E9"/>
    <w:rsid w:val="00A13A19"/>
    <w:rsid w:val="00A14A48"/>
    <w:rsid w:val="00A152F7"/>
    <w:rsid w:val="00A162F0"/>
    <w:rsid w:val="00A16399"/>
    <w:rsid w:val="00A1640A"/>
    <w:rsid w:val="00A16CD4"/>
    <w:rsid w:val="00A1789C"/>
    <w:rsid w:val="00A20091"/>
    <w:rsid w:val="00A2071E"/>
    <w:rsid w:val="00A2112B"/>
    <w:rsid w:val="00A2166D"/>
    <w:rsid w:val="00A23756"/>
    <w:rsid w:val="00A2570A"/>
    <w:rsid w:val="00A259BA"/>
    <w:rsid w:val="00A263B5"/>
    <w:rsid w:val="00A27212"/>
    <w:rsid w:val="00A308CC"/>
    <w:rsid w:val="00A30F95"/>
    <w:rsid w:val="00A31020"/>
    <w:rsid w:val="00A327C1"/>
    <w:rsid w:val="00A33802"/>
    <w:rsid w:val="00A35F63"/>
    <w:rsid w:val="00A40417"/>
    <w:rsid w:val="00A41BB8"/>
    <w:rsid w:val="00A42CC1"/>
    <w:rsid w:val="00A42FD1"/>
    <w:rsid w:val="00A46AB4"/>
    <w:rsid w:val="00A46BD8"/>
    <w:rsid w:val="00A501A1"/>
    <w:rsid w:val="00A5325B"/>
    <w:rsid w:val="00A5346E"/>
    <w:rsid w:val="00A54D70"/>
    <w:rsid w:val="00A57AE3"/>
    <w:rsid w:val="00A6041D"/>
    <w:rsid w:val="00A61360"/>
    <w:rsid w:val="00A636DD"/>
    <w:rsid w:val="00A63831"/>
    <w:rsid w:val="00A6447F"/>
    <w:rsid w:val="00A646EA"/>
    <w:rsid w:val="00A64BE0"/>
    <w:rsid w:val="00A705C0"/>
    <w:rsid w:val="00A722B5"/>
    <w:rsid w:val="00A72CF2"/>
    <w:rsid w:val="00A741A9"/>
    <w:rsid w:val="00A7489F"/>
    <w:rsid w:val="00A77026"/>
    <w:rsid w:val="00A80444"/>
    <w:rsid w:val="00A8118F"/>
    <w:rsid w:val="00A84CDB"/>
    <w:rsid w:val="00A85F8D"/>
    <w:rsid w:val="00A8633D"/>
    <w:rsid w:val="00A8718F"/>
    <w:rsid w:val="00A933EE"/>
    <w:rsid w:val="00A9423E"/>
    <w:rsid w:val="00AA17B6"/>
    <w:rsid w:val="00AA1C47"/>
    <w:rsid w:val="00AA3047"/>
    <w:rsid w:val="00AA3A40"/>
    <w:rsid w:val="00AA5BE0"/>
    <w:rsid w:val="00AB0AA5"/>
    <w:rsid w:val="00AB547F"/>
    <w:rsid w:val="00AC0BCD"/>
    <w:rsid w:val="00AC281E"/>
    <w:rsid w:val="00AC4566"/>
    <w:rsid w:val="00AD0ECF"/>
    <w:rsid w:val="00AD5163"/>
    <w:rsid w:val="00AD5432"/>
    <w:rsid w:val="00AD56A0"/>
    <w:rsid w:val="00AD61DE"/>
    <w:rsid w:val="00AE0678"/>
    <w:rsid w:val="00AE087C"/>
    <w:rsid w:val="00AE1611"/>
    <w:rsid w:val="00AE25EE"/>
    <w:rsid w:val="00AE45AF"/>
    <w:rsid w:val="00AE60D9"/>
    <w:rsid w:val="00AF18F1"/>
    <w:rsid w:val="00AF32CB"/>
    <w:rsid w:val="00AF442C"/>
    <w:rsid w:val="00AF5686"/>
    <w:rsid w:val="00AF6068"/>
    <w:rsid w:val="00B0041A"/>
    <w:rsid w:val="00B01993"/>
    <w:rsid w:val="00B02276"/>
    <w:rsid w:val="00B03166"/>
    <w:rsid w:val="00B0441E"/>
    <w:rsid w:val="00B114CE"/>
    <w:rsid w:val="00B11B84"/>
    <w:rsid w:val="00B12397"/>
    <w:rsid w:val="00B12E66"/>
    <w:rsid w:val="00B16532"/>
    <w:rsid w:val="00B17508"/>
    <w:rsid w:val="00B177A6"/>
    <w:rsid w:val="00B208E4"/>
    <w:rsid w:val="00B21691"/>
    <w:rsid w:val="00B22016"/>
    <w:rsid w:val="00B2293A"/>
    <w:rsid w:val="00B22A52"/>
    <w:rsid w:val="00B2465C"/>
    <w:rsid w:val="00B24F00"/>
    <w:rsid w:val="00B27E40"/>
    <w:rsid w:val="00B30D85"/>
    <w:rsid w:val="00B31233"/>
    <w:rsid w:val="00B31F63"/>
    <w:rsid w:val="00B32258"/>
    <w:rsid w:val="00B322E4"/>
    <w:rsid w:val="00B325F6"/>
    <w:rsid w:val="00B400B6"/>
    <w:rsid w:val="00B40D25"/>
    <w:rsid w:val="00B46BB7"/>
    <w:rsid w:val="00B471FE"/>
    <w:rsid w:val="00B4760E"/>
    <w:rsid w:val="00B502C9"/>
    <w:rsid w:val="00B5245A"/>
    <w:rsid w:val="00B524C6"/>
    <w:rsid w:val="00B540B9"/>
    <w:rsid w:val="00B569A0"/>
    <w:rsid w:val="00B621C9"/>
    <w:rsid w:val="00B63546"/>
    <w:rsid w:val="00B63E36"/>
    <w:rsid w:val="00B64D30"/>
    <w:rsid w:val="00B65090"/>
    <w:rsid w:val="00B65B32"/>
    <w:rsid w:val="00B66201"/>
    <w:rsid w:val="00B703A7"/>
    <w:rsid w:val="00B71BE6"/>
    <w:rsid w:val="00B76178"/>
    <w:rsid w:val="00B77B38"/>
    <w:rsid w:val="00B800BC"/>
    <w:rsid w:val="00B80E1E"/>
    <w:rsid w:val="00B82057"/>
    <w:rsid w:val="00B84412"/>
    <w:rsid w:val="00B85CBA"/>
    <w:rsid w:val="00B9114C"/>
    <w:rsid w:val="00B91A2E"/>
    <w:rsid w:val="00B92770"/>
    <w:rsid w:val="00B92946"/>
    <w:rsid w:val="00B944BD"/>
    <w:rsid w:val="00B95577"/>
    <w:rsid w:val="00B95F46"/>
    <w:rsid w:val="00B96D55"/>
    <w:rsid w:val="00BA350D"/>
    <w:rsid w:val="00BA46C8"/>
    <w:rsid w:val="00BA4D98"/>
    <w:rsid w:val="00BA59DF"/>
    <w:rsid w:val="00BB034B"/>
    <w:rsid w:val="00BB0C35"/>
    <w:rsid w:val="00BB23A4"/>
    <w:rsid w:val="00BB2CBA"/>
    <w:rsid w:val="00BB66C6"/>
    <w:rsid w:val="00BC031A"/>
    <w:rsid w:val="00BC19FB"/>
    <w:rsid w:val="00BC2D43"/>
    <w:rsid w:val="00BC72E8"/>
    <w:rsid w:val="00BC79DB"/>
    <w:rsid w:val="00BC7C9F"/>
    <w:rsid w:val="00BD32DA"/>
    <w:rsid w:val="00BD6264"/>
    <w:rsid w:val="00BD68A5"/>
    <w:rsid w:val="00BD6A34"/>
    <w:rsid w:val="00BD6D10"/>
    <w:rsid w:val="00BD7999"/>
    <w:rsid w:val="00BE0FF6"/>
    <w:rsid w:val="00BE22B0"/>
    <w:rsid w:val="00BE375A"/>
    <w:rsid w:val="00BE43E9"/>
    <w:rsid w:val="00BE6114"/>
    <w:rsid w:val="00BE652C"/>
    <w:rsid w:val="00BE6AD7"/>
    <w:rsid w:val="00BE6C17"/>
    <w:rsid w:val="00BE725A"/>
    <w:rsid w:val="00BF0362"/>
    <w:rsid w:val="00BF186C"/>
    <w:rsid w:val="00BF1A9D"/>
    <w:rsid w:val="00BF1DF2"/>
    <w:rsid w:val="00BF2314"/>
    <w:rsid w:val="00BF4277"/>
    <w:rsid w:val="00BF45A2"/>
    <w:rsid w:val="00BF4B5E"/>
    <w:rsid w:val="00BF5B0F"/>
    <w:rsid w:val="00BF5F13"/>
    <w:rsid w:val="00BF7887"/>
    <w:rsid w:val="00BF7BB2"/>
    <w:rsid w:val="00C017F4"/>
    <w:rsid w:val="00C032F4"/>
    <w:rsid w:val="00C03E56"/>
    <w:rsid w:val="00C0462E"/>
    <w:rsid w:val="00C04784"/>
    <w:rsid w:val="00C04ED3"/>
    <w:rsid w:val="00C054CC"/>
    <w:rsid w:val="00C0570A"/>
    <w:rsid w:val="00C06221"/>
    <w:rsid w:val="00C06810"/>
    <w:rsid w:val="00C11517"/>
    <w:rsid w:val="00C11A7B"/>
    <w:rsid w:val="00C14AD1"/>
    <w:rsid w:val="00C14D4C"/>
    <w:rsid w:val="00C16CD5"/>
    <w:rsid w:val="00C2037F"/>
    <w:rsid w:val="00C20E8F"/>
    <w:rsid w:val="00C21D82"/>
    <w:rsid w:val="00C21FCB"/>
    <w:rsid w:val="00C21FF6"/>
    <w:rsid w:val="00C2284F"/>
    <w:rsid w:val="00C24B4B"/>
    <w:rsid w:val="00C25AFC"/>
    <w:rsid w:val="00C26059"/>
    <w:rsid w:val="00C26816"/>
    <w:rsid w:val="00C27062"/>
    <w:rsid w:val="00C27589"/>
    <w:rsid w:val="00C3057B"/>
    <w:rsid w:val="00C317B9"/>
    <w:rsid w:val="00C33A4F"/>
    <w:rsid w:val="00C3506A"/>
    <w:rsid w:val="00C35963"/>
    <w:rsid w:val="00C36BC2"/>
    <w:rsid w:val="00C36F57"/>
    <w:rsid w:val="00C379EE"/>
    <w:rsid w:val="00C37CCC"/>
    <w:rsid w:val="00C408E4"/>
    <w:rsid w:val="00C40C8A"/>
    <w:rsid w:val="00C43632"/>
    <w:rsid w:val="00C50BE2"/>
    <w:rsid w:val="00C52A5E"/>
    <w:rsid w:val="00C54173"/>
    <w:rsid w:val="00C55680"/>
    <w:rsid w:val="00C55E7F"/>
    <w:rsid w:val="00C56268"/>
    <w:rsid w:val="00C567D4"/>
    <w:rsid w:val="00C56B64"/>
    <w:rsid w:val="00C57342"/>
    <w:rsid w:val="00C6129D"/>
    <w:rsid w:val="00C621C9"/>
    <w:rsid w:val="00C6304E"/>
    <w:rsid w:val="00C64042"/>
    <w:rsid w:val="00C64F0A"/>
    <w:rsid w:val="00C71D17"/>
    <w:rsid w:val="00C72760"/>
    <w:rsid w:val="00C72B88"/>
    <w:rsid w:val="00C72EF4"/>
    <w:rsid w:val="00C73AD2"/>
    <w:rsid w:val="00C73D7A"/>
    <w:rsid w:val="00C73D9C"/>
    <w:rsid w:val="00C741B7"/>
    <w:rsid w:val="00C744A6"/>
    <w:rsid w:val="00C7727B"/>
    <w:rsid w:val="00C77ED2"/>
    <w:rsid w:val="00C80382"/>
    <w:rsid w:val="00C80643"/>
    <w:rsid w:val="00C81289"/>
    <w:rsid w:val="00C8383B"/>
    <w:rsid w:val="00C85BF7"/>
    <w:rsid w:val="00C8659C"/>
    <w:rsid w:val="00C87C79"/>
    <w:rsid w:val="00C92015"/>
    <w:rsid w:val="00C94A5C"/>
    <w:rsid w:val="00C95D4E"/>
    <w:rsid w:val="00CA05D5"/>
    <w:rsid w:val="00CA0A1E"/>
    <w:rsid w:val="00CA1EB6"/>
    <w:rsid w:val="00CA4050"/>
    <w:rsid w:val="00CA4E5E"/>
    <w:rsid w:val="00CA674A"/>
    <w:rsid w:val="00CA7396"/>
    <w:rsid w:val="00CB170E"/>
    <w:rsid w:val="00CB1C1E"/>
    <w:rsid w:val="00CB296C"/>
    <w:rsid w:val="00CB29E1"/>
    <w:rsid w:val="00CB4750"/>
    <w:rsid w:val="00CB5A40"/>
    <w:rsid w:val="00CB614A"/>
    <w:rsid w:val="00CB68E2"/>
    <w:rsid w:val="00CB7FF8"/>
    <w:rsid w:val="00CC02D9"/>
    <w:rsid w:val="00CC0B2B"/>
    <w:rsid w:val="00CC0C57"/>
    <w:rsid w:val="00CC1C87"/>
    <w:rsid w:val="00CC1E68"/>
    <w:rsid w:val="00CC6EA6"/>
    <w:rsid w:val="00CD0BB7"/>
    <w:rsid w:val="00CD15F2"/>
    <w:rsid w:val="00CD2582"/>
    <w:rsid w:val="00CD4E9A"/>
    <w:rsid w:val="00CD5C6F"/>
    <w:rsid w:val="00CD6BDD"/>
    <w:rsid w:val="00CD73B6"/>
    <w:rsid w:val="00CE00CB"/>
    <w:rsid w:val="00CE348A"/>
    <w:rsid w:val="00CE4536"/>
    <w:rsid w:val="00CE59AF"/>
    <w:rsid w:val="00CE7F15"/>
    <w:rsid w:val="00CF04A0"/>
    <w:rsid w:val="00CF243B"/>
    <w:rsid w:val="00CF2B15"/>
    <w:rsid w:val="00CF2FDF"/>
    <w:rsid w:val="00CF5B07"/>
    <w:rsid w:val="00CF7444"/>
    <w:rsid w:val="00D04013"/>
    <w:rsid w:val="00D04B49"/>
    <w:rsid w:val="00D06AD4"/>
    <w:rsid w:val="00D160EE"/>
    <w:rsid w:val="00D16342"/>
    <w:rsid w:val="00D167DB"/>
    <w:rsid w:val="00D20239"/>
    <w:rsid w:val="00D202FE"/>
    <w:rsid w:val="00D20741"/>
    <w:rsid w:val="00D207DC"/>
    <w:rsid w:val="00D22357"/>
    <w:rsid w:val="00D25A67"/>
    <w:rsid w:val="00D27CD0"/>
    <w:rsid w:val="00D27EBE"/>
    <w:rsid w:val="00D31E8F"/>
    <w:rsid w:val="00D33E7B"/>
    <w:rsid w:val="00D35221"/>
    <w:rsid w:val="00D35A58"/>
    <w:rsid w:val="00D37EEB"/>
    <w:rsid w:val="00D40D71"/>
    <w:rsid w:val="00D43350"/>
    <w:rsid w:val="00D43984"/>
    <w:rsid w:val="00D44E58"/>
    <w:rsid w:val="00D454B8"/>
    <w:rsid w:val="00D50EBE"/>
    <w:rsid w:val="00D5168E"/>
    <w:rsid w:val="00D552BE"/>
    <w:rsid w:val="00D55531"/>
    <w:rsid w:val="00D5624C"/>
    <w:rsid w:val="00D5628D"/>
    <w:rsid w:val="00D57D83"/>
    <w:rsid w:val="00D600FA"/>
    <w:rsid w:val="00D620DE"/>
    <w:rsid w:val="00D64D9B"/>
    <w:rsid w:val="00D67778"/>
    <w:rsid w:val="00D704DF"/>
    <w:rsid w:val="00D72AA3"/>
    <w:rsid w:val="00D75548"/>
    <w:rsid w:val="00D80394"/>
    <w:rsid w:val="00D80686"/>
    <w:rsid w:val="00D80A2F"/>
    <w:rsid w:val="00D81138"/>
    <w:rsid w:val="00D81C32"/>
    <w:rsid w:val="00D842DE"/>
    <w:rsid w:val="00D8646A"/>
    <w:rsid w:val="00D87DB7"/>
    <w:rsid w:val="00D9069C"/>
    <w:rsid w:val="00D907D0"/>
    <w:rsid w:val="00D90BBF"/>
    <w:rsid w:val="00D91D30"/>
    <w:rsid w:val="00D939B9"/>
    <w:rsid w:val="00D93EC4"/>
    <w:rsid w:val="00D961C2"/>
    <w:rsid w:val="00D96E8B"/>
    <w:rsid w:val="00D97F0A"/>
    <w:rsid w:val="00DA304D"/>
    <w:rsid w:val="00DA652A"/>
    <w:rsid w:val="00DA67CC"/>
    <w:rsid w:val="00DA6F7F"/>
    <w:rsid w:val="00DA7C5D"/>
    <w:rsid w:val="00DB0028"/>
    <w:rsid w:val="00DB0FEB"/>
    <w:rsid w:val="00DB23F8"/>
    <w:rsid w:val="00DB5145"/>
    <w:rsid w:val="00DC0202"/>
    <w:rsid w:val="00DC059C"/>
    <w:rsid w:val="00DC39D7"/>
    <w:rsid w:val="00DC4687"/>
    <w:rsid w:val="00DC6E21"/>
    <w:rsid w:val="00DC7F2C"/>
    <w:rsid w:val="00DD0C7D"/>
    <w:rsid w:val="00DD322C"/>
    <w:rsid w:val="00DD3627"/>
    <w:rsid w:val="00DD4F2B"/>
    <w:rsid w:val="00DD5E8B"/>
    <w:rsid w:val="00DD797A"/>
    <w:rsid w:val="00DE111A"/>
    <w:rsid w:val="00DE1841"/>
    <w:rsid w:val="00DE2A1F"/>
    <w:rsid w:val="00DE3311"/>
    <w:rsid w:val="00DE64FB"/>
    <w:rsid w:val="00DE6655"/>
    <w:rsid w:val="00DE68E5"/>
    <w:rsid w:val="00DF2A9E"/>
    <w:rsid w:val="00DF4453"/>
    <w:rsid w:val="00DF4A72"/>
    <w:rsid w:val="00DF5D25"/>
    <w:rsid w:val="00DF7EE3"/>
    <w:rsid w:val="00E01177"/>
    <w:rsid w:val="00E03FB6"/>
    <w:rsid w:val="00E04B83"/>
    <w:rsid w:val="00E05FA2"/>
    <w:rsid w:val="00E07115"/>
    <w:rsid w:val="00E11071"/>
    <w:rsid w:val="00E159B9"/>
    <w:rsid w:val="00E20644"/>
    <w:rsid w:val="00E22ECF"/>
    <w:rsid w:val="00E24E39"/>
    <w:rsid w:val="00E25544"/>
    <w:rsid w:val="00E34618"/>
    <w:rsid w:val="00E35B20"/>
    <w:rsid w:val="00E3774E"/>
    <w:rsid w:val="00E40728"/>
    <w:rsid w:val="00E41DE5"/>
    <w:rsid w:val="00E41FD8"/>
    <w:rsid w:val="00E4267A"/>
    <w:rsid w:val="00E43EAB"/>
    <w:rsid w:val="00E44B48"/>
    <w:rsid w:val="00E47B0F"/>
    <w:rsid w:val="00E51798"/>
    <w:rsid w:val="00E521C4"/>
    <w:rsid w:val="00E523B0"/>
    <w:rsid w:val="00E52689"/>
    <w:rsid w:val="00E55AD4"/>
    <w:rsid w:val="00E567FD"/>
    <w:rsid w:val="00E60706"/>
    <w:rsid w:val="00E62185"/>
    <w:rsid w:val="00E64AA8"/>
    <w:rsid w:val="00E6756A"/>
    <w:rsid w:val="00E67B6F"/>
    <w:rsid w:val="00E7103A"/>
    <w:rsid w:val="00E72A4A"/>
    <w:rsid w:val="00E76E4E"/>
    <w:rsid w:val="00E80107"/>
    <w:rsid w:val="00E82C92"/>
    <w:rsid w:val="00E8337F"/>
    <w:rsid w:val="00E84363"/>
    <w:rsid w:val="00E8535F"/>
    <w:rsid w:val="00E85D4A"/>
    <w:rsid w:val="00E8609A"/>
    <w:rsid w:val="00E863AD"/>
    <w:rsid w:val="00E87949"/>
    <w:rsid w:val="00E87E48"/>
    <w:rsid w:val="00E90DBC"/>
    <w:rsid w:val="00E93707"/>
    <w:rsid w:val="00E93DD2"/>
    <w:rsid w:val="00E947BF"/>
    <w:rsid w:val="00E94885"/>
    <w:rsid w:val="00E9599E"/>
    <w:rsid w:val="00E9602D"/>
    <w:rsid w:val="00E96AE0"/>
    <w:rsid w:val="00E975F9"/>
    <w:rsid w:val="00E97678"/>
    <w:rsid w:val="00EA043A"/>
    <w:rsid w:val="00EA0941"/>
    <w:rsid w:val="00EA1522"/>
    <w:rsid w:val="00EA2745"/>
    <w:rsid w:val="00EA69D7"/>
    <w:rsid w:val="00EB1E97"/>
    <w:rsid w:val="00EB52FC"/>
    <w:rsid w:val="00EC07A9"/>
    <w:rsid w:val="00EC135B"/>
    <w:rsid w:val="00EC25C2"/>
    <w:rsid w:val="00EC2646"/>
    <w:rsid w:val="00EC2717"/>
    <w:rsid w:val="00EC2A2A"/>
    <w:rsid w:val="00EC329D"/>
    <w:rsid w:val="00EC60AA"/>
    <w:rsid w:val="00ED054E"/>
    <w:rsid w:val="00ED0C99"/>
    <w:rsid w:val="00ED181D"/>
    <w:rsid w:val="00ED3A55"/>
    <w:rsid w:val="00ED614D"/>
    <w:rsid w:val="00EE02F2"/>
    <w:rsid w:val="00EE4C70"/>
    <w:rsid w:val="00EE6AA9"/>
    <w:rsid w:val="00EE7E11"/>
    <w:rsid w:val="00EF008B"/>
    <w:rsid w:val="00EF5ECF"/>
    <w:rsid w:val="00EF6032"/>
    <w:rsid w:val="00EF72D7"/>
    <w:rsid w:val="00EF74ED"/>
    <w:rsid w:val="00F043FB"/>
    <w:rsid w:val="00F0489E"/>
    <w:rsid w:val="00F11640"/>
    <w:rsid w:val="00F1572E"/>
    <w:rsid w:val="00F16B1B"/>
    <w:rsid w:val="00F171A4"/>
    <w:rsid w:val="00F17DD0"/>
    <w:rsid w:val="00F205C6"/>
    <w:rsid w:val="00F20C1E"/>
    <w:rsid w:val="00F22F2E"/>
    <w:rsid w:val="00F26495"/>
    <w:rsid w:val="00F2786D"/>
    <w:rsid w:val="00F30483"/>
    <w:rsid w:val="00F33BA9"/>
    <w:rsid w:val="00F42C9A"/>
    <w:rsid w:val="00F43A57"/>
    <w:rsid w:val="00F43BAD"/>
    <w:rsid w:val="00F441F9"/>
    <w:rsid w:val="00F44528"/>
    <w:rsid w:val="00F47968"/>
    <w:rsid w:val="00F508DA"/>
    <w:rsid w:val="00F50E25"/>
    <w:rsid w:val="00F51BA3"/>
    <w:rsid w:val="00F52892"/>
    <w:rsid w:val="00F52B65"/>
    <w:rsid w:val="00F540BD"/>
    <w:rsid w:val="00F543F3"/>
    <w:rsid w:val="00F54E77"/>
    <w:rsid w:val="00F54F08"/>
    <w:rsid w:val="00F561E8"/>
    <w:rsid w:val="00F57D9A"/>
    <w:rsid w:val="00F57E5F"/>
    <w:rsid w:val="00F60F12"/>
    <w:rsid w:val="00F663A0"/>
    <w:rsid w:val="00F70C2F"/>
    <w:rsid w:val="00F73357"/>
    <w:rsid w:val="00F74295"/>
    <w:rsid w:val="00F74E36"/>
    <w:rsid w:val="00F74E8A"/>
    <w:rsid w:val="00F757C5"/>
    <w:rsid w:val="00F82574"/>
    <w:rsid w:val="00F8484E"/>
    <w:rsid w:val="00F84BD2"/>
    <w:rsid w:val="00F860D1"/>
    <w:rsid w:val="00F863C9"/>
    <w:rsid w:val="00F86487"/>
    <w:rsid w:val="00F86A98"/>
    <w:rsid w:val="00F90E19"/>
    <w:rsid w:val="00F91555"/>
    <w:rsid w:val="00F925B2"/>
    <w:rsid w:val="00F92F39"/>
    <w:rsid w:val="00F9444C"/>
    <w:rsid w:val="00FA11F2"/>
    <w:rsid w:val="00FA17BD"/>
    <w:rsid w:val="00FA1CE7"/>
    <w:rsid w:val="00FA4D8B"/>
    <w:rsid w:val="00FA58F6"/>
    <w:rsid w:val="00FA70A4"/>
    <w:rsid w:val="00FA784A"/>
    <w:rsid w:val="00FB23B2"/>
    <w:rsid w:val="00FB2681"/>
    <w:rsid w:val="00FB4851"/>
    <w:rsid w:val="00FB51E5"/>
    <w:rsid w:val="00FC0EA1"/>
    <w:rsid w:val="00FC158C"/>
    <w:rsid w:val="00FC1FE2"/>
    <w:rsid w:val="00FC3355"/>
    <w:rsid w:val="00FC4B35"/>
    <w:rsid w:val="00FC4B65"/>
    <w:rsid w:val="00FC57EB"/>
    <w:rsid w:val="00FC6283"/>
    <w:rsid w:val="00FD1721"/>
    <w:rsid w:val="00FD1A75"/>
    <w:rsid w:val="00FD4E5C"/>
    <w:rsid w:val="00FD5D0D"/>
    <w:rsid w:val="00FD6157"/>
    <w:rsid w:val="00FD6DD4"/>
    <w:rsid w:val="00FD794F"/>
    <w:rsid w:val="00FE3792"/>
    <w:rsid w:val="00FE37B8"/>
    <w:rsid w:val="00FE552E"/>
    <w:rsid w:val="00FF0526"/>
    <w:rsid w:val="00FF0A33"/>
    <w:rsid w:val="00FF4543"/>
    <w:rsid w:val="00FF5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18"/>
    <w:pPr>
      <w:autoSpaceDE w:val="0"/>
      <w:autoSpaceDN w:val="0"/>
      <w:adjustRightInd w:val="0"/>
      <w:spacing w:before="120"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
    <w:qFormat/>
    <w:rsid w:val="00302E29"/>
    <w:pPr>
      <w:keepNext/>
      <w:spacing w:before="240" w:after="60"/>
      <w:jc w:val="center"/>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unhideWhenUsed/>
    <w:qFormat/>
    <w:rsid w:val="00D57D83"/>
    <w:pPr>
      <w:keepNext/>
      <w:spacing w:before="240" w:after="60"/>
      <w:jc w:val="center"/>
      <w:outlineLvl w:val="1"/>
    </w:pPr>
    <w:rPr>
      <w:rFonts w:ascii="Times New (W1)" w:eastAsiaTheme="majorEastAsia" w:hAnsi="Times New (W1)" w:cstheme="majorBidi"/>
      <w:b/>
      <w:bCs/>
      <w:szCs w:val="26"/>
    </w:rPr>
  </w:style>
  <w:style w:type="paragraph" w:styleId="Heading3">
    <w:name w:val="heading 3"/>
    <w:basedOn w:val="Normal"/>
    <w:next w:val="Normal"/>
    <w:link w:val="Heading3Char"/>
    <w:unhideWhenUsed/>
    <w:qFormat/>
    <w:rsid w:val="007811CA"/>
    <w:pPr>
      <w:keepNext/>
      <w:spacing w:before="240" w:after="60" w:line="360" w:lineRule="auto"/>
      <w:outlineLvl w:val="2"/>
    </w:pPr>
    <w:rPr>
      <w:rFonts w:ascii="Times New Roman Bold" w:eastAsiaTheme="majorEastAsia" w:hAnsi="Times New Roman Bold" w:cstheme="majorBidi"/>
      <w:b/>
      <w:bCs/>
      <w:szCs w:val="22"/>
    </w:rPr>
  </w:style>
  <w:style w:type="paragraph" w:styleId="Heading4">
    <w:name w:val="heading 4"/>
    <w:basedOn w:val="Normal"/>
    <w:next w:val="Normal"/>
    <w:link w:val="Heading4Char"/>
    <w:uiPriority w:val="9"/>
    <w:unhideWhenUsed/>
    <w:qFormat/>
    <w:rsid w:val="003D1086"/>
    <w:pPr>
      <w:keepNext/>
      <w:keepLines/>
      <w:spacing w:before="200"/>
      <w:ind w:left="36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0012D7"/>
    <w:pPr>
      <w:keepNext/>
      <w:keepLines/>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E29"/>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rsid w:val="00D57D83"/>
    <w:rPr>
      <w:rFonts w:ascii="Times New (W1)" w:eastAsiaTheme="majorEastAsia" w:hAnsi="Times New (W1)" w:cstheme="majorBidi"/>
      <w:b/>
      <w:bCs/>
      <w:sz w:val="24"/>
      <w:szCs w:val="26"/>
    </w:rPr>
  </w:style>
  <w:style w:type="character" w:customStyle="1" w:styleId="Heading3Char">
    <w:name w:val="Heading 3 Char"/>
    <w:basedOn w:val="DefaultParagraphFont"/>
    <w:link w:val="Heading3"/>
    <w:rsid w:val="007811CA"/>
    <w:rPr>
      <w:rFonts w:ascii="Times New Roman Bold" w:eastAsiaTheme="majorEastAsia" w:hAnsi="Times New Roman Bold" w:cstheme="majorBidi"/>
      <w:b/>
      <w:bCs/>
      <w:sz w:val="24"/>
    </w:rPr>
  </w:style>
  <w:style w:type="paragraph" w:styleId="FootnoteText">
    <w:name w:val="footnote text"/>
    <w:basedOn w:val="Normal"/>
    <w:link w:val="FootnoteTextChar"/>
    <w:unhideWhenUsed/>
    <w:qFormat/>
    <w:rsid w:val="00E97678"/>
    <w:pPr>
      <w:ind w:left="720" w:right="216" w:hanging="360"/>
    </w:pPr>
    <w:rPr>
      <w:rFonts w:cstheme="minorBidi"/>
      <w:sz w:val="20"/>
    </w:rPr>
  </w:style>
  <w:style w:type="character" w:customStyle="1" w:styleId="FootnoteTextChar">
    <w:name w:val="Footnote Text Char"/>
    <w:basedOn w:val="DefaultParagraphFont"/>
    <w:link w:val="FootnoteText"/>
    <w:rsid w:val="00E97678"/>
    <w:rPr>
      <w:rFonts w:ascii="Times New Roman" w:hAnsi="Times New Roman"/>
      <w:sz w:val="20"/>
      <w:szCs w:val="20"/>
    </w:rPr>
  </w:style>
  <w:style w:type="numbering" w:customStyle="1" w:styleId="DB1">
    <w:name w:val="D&amp;B1"/>
    <w:uiPriority w:val="99"/>
    <w:rsid w:val="00780635"/>
    <w:pPr>
      <w:numPr>
        <w:numId w:val="1"/>
      </w:numPr>
    </w:pPr>
  </w:style>
  <w:style w:type="character" w:customStyle="1" w:styleId="Heading4Char">
    <w:name w:val="Heading 4 Char"/>
    <w:basedOn w:val="DefaultParagraphFont"/>
    <w:link w:val="Heading4"/>
    <w:uiPriority w:val="9"/>
    <w:rsid w:val="003D1086"/>
    <w:rPr>
      <w:rFonts w:ascii="Times New Roman" w:eastAsiaTheme="majorEastAsia" w:hAnsi="Times New Roman" w:cstheme="majorBidi"/>
      <w:b/>
      <w:bCs/>
      <w:i/>
      <w:iCs/>
      <w:sz w:val="24"/>
      <w:szCs w:val="20"/>
    </w:rPr>
  </w:style>
  <w:style w:type="character" w:customStyle="1" w:styleId="Heading5Char">
    <w:name w:val="Heading 5 Char"/>
    <w:basedOn w:val="DefaultParagraphFont"/>
    <w:link w:val="Heading5"/>
    <w:uiPriority w:val="9"/>
    <w:rsid w:val="000012D7"/>
    <w:rPr>
      <w:rFonts w:ascii="Times New Roman" w:eastAsiaTheme="majorEastAsia" w:hAnsi="Times New Roman" w:cstheme="majorBidi"/>
      <w:b/>
      <w:i/>
      <w:sz w:val="24"/>
      <w:szCs w:val="20"/>
    </w:rPr>
  </w:style>
  <w:style w:type="character" w:styleId="PageNumber">
    <w:name w:val="page number"/>
    <w:basedOn w:val="DefaultParagraphFont"/>
    <w:rsid w:val="00331B18"/>
    <w:rPr>
      <w:rFonts w:ascii="Times New (W1)" w:hAnsi="Times New (W1)"/>
      <w:dstrike w:val="0"/>
      <w:color w:val="auto"/>
      <w:sz w:val="24"/>
      <w:vertAlign w:val="baseline"/>
    </w:rPr>
  </w:style>
  <w:style w:type="paragraph" w:styleId="Header">
    <w:name w:val="header"/>
    <w:basedOn w:val="Normal"/>
    <w:link w:val="HeaderChar"/>
    <w:rsid w:val="00331B18"/>
    <w:pPr>
      <w:tabs>
        <w:tab w:val="center" w:pos="4320"/>
        <w:tab w:val="right" w:pos="8640"/>
      </w:tabs>
    </w:pPr>
  </w:style>
  <w:style w:type="character" w:customStyle="1" w:styleId="HeaderChar">
    <w:name w:val="Header Char"/>
    <w:basedOn w:val="DefaultParagraphFont"/>
    <w:link w:val="Header"/>
    <w:rsid w:val="00331B18"/>
    <w:rPr>
      <w:rFonts w:ascii="Times New Roman" w:eastAsiaTheme="minorEastAsia" w:hAnsi="Times New Roman" w:cs="Times New Roman"/>
      <w:sz w:val="24"/>
      <w:szCs w:val="20"/>
    </w:rPr>
  </w:style>
  <w:style w:type="paragraph" w:styleId="Footer">
    <w:name w:val="footer"/>
    <w:basedOn w:val="Normal"/>
    <w:link w:val="FooterChar"/>
    <w:rsid w:val="00331B18"/>
    <w:pPr>
      <w:tabs>
        <w:tab w:val="center" w:pos="4320"/>
        <w:tab w:val="right" w:pos="8640"/>
      </w:tabs>
      <w:spacing w:before="0"/>
    </w:pPr>
  </w:style>
  <w:style w:type="character" w:customStyle="1" w:styleId="FooterChar">
    <w:name w:val="Footer Char"/>
    <w:basedOn w:val="DefaultParagraphFont"/>
    <w:link w:val="Footer"/>
    <w:rsid w:val="00331B18"/>
    <w:rPr>
      <w:rFonts w:ascii="Times New Roman" w:eastAsiaTheme="minorEastAsia" w:hAnsi="Times New Roman" w:cs="Times New Roman"/>
      <w:sz w:val="24"/>
      <w:szCs w:val="20"/>
    </w:rPr>
  </w:style>
  <w:style w:type="character" w:styleId="FootnoteReference">
    <w:name w:val="footnote reference"/>
    <w:basedOn w:val="DefaultParagraphFont"/>
    <w:rsid w:val="00331B18"/>
    <w:rPr>
      <w:rFonts w:ascii="Times New Roman" w:hAnsi="Times New Roman"/>
      <w:dstrike w:val="0"/>
      <w:color w:val="auto"/>
      <w:position w:val="6"/>
      <w:sz w:val="16"/>
      <w:u w:val="none"/>
      <w:vertAlign w:val="baseline"/>
    </w:rPr>
  </w:style>
  <w:style w:type="character" w:styleId="Hyperlink">
    <w:name w:val="Hyperlink"/>
    <w:basedOn w:val="DefaultParagraphFont"/>
    <w:uiPriority w:val="99"/>
    <w:rsid w:val="00331B18"/>
    <w:rPr>
      <w:color w:val="0000FF"/>
      <w:sz w:val="20"/>
      <w:u w:val="single"/>
    </w:rPr>
  </w:style>
  <w:style w:type="paragraph" w:customStyle="1" w:styleId="Footnotetext0">
    <w:name w:val="Footnote text"/>
    <w:basedOn w:val="Normal"/>
    <w:link w:val="FootnotetextChar0"/>
    <w:qFormat/>
    <w:rsid w:val="00331B18"/>
    <w:pPr>
      <w:autoSpaceDE/>
      <w:autoSpaceDN/>
      <w:adjustRightInd/>
      <w:ind w:left="720" w:right="360" w:hanging="360"/>
    </w:pPr>
    <w:rPr>
      <w:rFonts w:eastAsiaTheme="minorHAnsi" w:cstheme="minorBidi"/>
      <w:sz w:val="20"/>
      <w:szCs w:val="22"/>
    </w:rPr>
  </w:style>
  <w:style w:type="character" w:customStyle="1" w:styleId="style14">
    <w:name w:val="style14"/>
    <w:basedOn w:val="DefaultParagraphFont"/>
    <w:rsid w:val="00331B18"/>
  </w:style>
  <w:style w:type="character" w:customStyle="1" w:styleId="searchword">
    <w:name w:val="searchword"/>
    <w:basedOn w:val="DefaultParagraphFont"/>
    <w:rsid w:val="00331B18"/>
  </w:style>
  <w:style w:type="paragraph" w:styleId="ListParagraph">
    <w:name w:val="List Paragraph"/>
    <w:basedOn w:val="Normal"/>
    <w:uiPriority w:val="34"/>
    <w:qFormat/>
    <w:rsid w:val="00331B18"/>
    <w:pPr>
      <w:ind w:left="720"/>
      <w:contextualSpacing/>
    </w:pPr>
  </w:style>
  <w:style w:type="character" w:styleId="Strong">
    <w:name w:val="Strong"/>
    <w:basedOn w:val="DefaultParagraphFont"/>
    <w:uiPriority w:val="22"/>
    <w:qFormat/>
    <w:rsid w:val="00524576"/>
    <w:rPr>
      <w:b/>
      <w:bCs/>
    </w:rPr>
  </w:style>
  <w:style w:type="character" w:styleId="Emphasis">
    <w:name w:val="Emphasis"/>
    <w:basedOn w:val="DefaultParagraphFont"/>
    <w:uiPriority w:val="20"/>
    <w:qFormat/>
    <w:rsid w:val="00524576"/>
    <w:rPr>
      <w:i/>
      <w:iCs/>
    </w:rPr>
  </w:style>
  <w:style w:type="paragraph" w:customStyle="1" w:styleId="Default">
    <w:name w:val="Default"/>
    <w:rsid w:val="002D45FA"/>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B4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B400B6"/>
    <w:rPr>
      <w:rFonts w:ascii="Courier New" w:hAnsi="Courier New" w:cs="Courier New"/>
      <w:sz w:val="20"/>
      <w:szCs w:val="20"/>
    </w:rPr>
  </w:style>
  <w:style w:type="paragraph" w:customStyle="1" w:styleId="Footnote">
    <w:name w:val="Footnote"/>
    <w:basedOn w:val="FootnoteText"/>
    <w:link w:val="FootnoteChar"/>
    <w:qFormat/>
    <w:rsid w:val="00C36F57"/>
    <w:pPr>
      <w:autoSpaceDE/>
      <w:autoSpaceDN/>
      <w:adjustRightInd/>
    </w:pPr>
    <w:rPr>
      <w:rFonts w:eastAsiaTheme="minorHAnsi"/>
      <w:szCs w:val="22"/>
    </w:rPr>
  </w:style>
  <w:style w:type="character" w:customStyle="1" w:styleId="FootnoteChar">
    <w:name w:val="Footnote Char"/>
    <w:basedOn w:val="FootnoteTextChar"/>
    <w:link w:val="Footnote"/>
    <w:rsid w:val="00C36F57"/>
    <w:rPr>
      <w:rFonts w:eastAsiaTheme="minorHAnsi"/>
    </w:rPr>
  </w:style>
  <w:style w:type="character" w:customStyle="1" w:styleId="headertext">
    <w:name w:val="headertext"/>
    <w:basedOn w:val="DefaultParagraphFont"/>
    <w:rsid w:val="00C36F57"/>
  </w:style>
  <w:style w:type="character" w:customStyle="1" w:styleId="date">
    <w:name w:val="date"/>
    <w:basedOn w:val="DefaultParagraphFont"/>
    <w:rsid w:val="003605E9"/>
  </w:style>
  <w:style w:type="paragraph" w:styleId="HTMLAddress">
    <w:name w:val="HTML Address"/>
    <w:basedOn w:val="Normal"/>
    <w:link w:val="HTMLAddressChar"/>
    <w:uiPriority w:val="99"/>
    <w:semiHidden/>
    <w:unhideWhenUsed/>
    <w:rsid w:val="003605E9"/>
    <w:pPr>
      <w:autoSpaceDE/>
      <w:autoSpaceDN/>
      <w:adjustRightInd/>
      <w:spacing w:before="0"/>
    </w:pPr>
    <w:rPr>
      <w:rFonts w:eastAsia="Times New Roman"/>
      <w:i/>
      <w:iCs/>
      <w:szCs w:val="24"/>
    </w:rPr>
  </w:style>
  <w:style w:type="character" w:customStyle="1" w:styleId="HTMLAddressChar">
    <w:name w:val="HTML Address Char"/>
    <w:basedOn w:val="DefaultParagraphFont"/>
    <w:link w:val="HTMLAddress"/>
    <w:uiPriority w:val="99"/>
    <w:semiHidden/>
    <w:rsid w:val="003605E9"/>
    <w:rPr>
      <w:rFonts w:ascii="Times New Roman" w:hAnsi="Times New Roman" w:cs="Times New Roman"/>
      <w:i/>
      <w:iCs/>
      <w:sz w:val="24"/>
      <w:szCs w:val="24"/>
    </w:rPr>
  </w:style>
  <w:style w:type="paragraph" w:customStyle="1" w:styleId="postdate">
    <w:name w:val="postdate"/>
    <w:basedOn w:val="Normal"/>
    <w:rsid w:val="009C36A3"/>
    <w:pPr>
      <w:autoSpaceDE/>
      <w:autoSpaceDN/>
      <w:adjustRightInd/>
      <w:spacing w:before="100" w:beforeAutospacing="1" w:after="100" w:afterAutospacing="1"/>
    </w:pPr>
    <w:rPr>
      <w:rFonts w:eastAsia="Times New Roman"/>
      <w:szCs w:val="24"/>
    </w:rPr>
  </w:style>
  <w:style w:type="paragraph" w:styleId="NormalWeb">
    <w:name w:val="Normal (Web)"/>
    <w:basedOn w:val="Normal"/>
    <w:uiPriority w:val="99"/>
    <w:semiHidden/>
    <w:unhideWhenUsed/>
    <w:rsid w:val="00140A80"/>
    <w:pPr>
      <w:autoSpaceDE/>
      <w:autoSpaceDN/>
      <w:adjustRightInd/>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9A6B0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0C"/>
    <w:rPr>
      <w:rFonts w:ascii="Tahoma" w:eastAsiaTheme="minorEastAsia" w:hAnsi="Tahoma" w:cs="Tahoma"/>
      <w:sz w:val="16"/>
      <w:szCs w:val="16"/>
    </w:rPr>
  </w:style>
  <w:style w:type="character" w:customStyle="1" w:styleId="apple-style-span">
    <w:name w:val="apple-style-span"/>
    <w:basedOn w:val="DefaultParagraphFont"/>
    <w:rsid w:val="004849C6"/>
  </w:style>
  <w:style w:type="character" w:customStyle="1" w:styleId="apple-converted-space">
    <w:name w:val="apple-converted-space"/>
    <w:basedOn w:val="DefaultParagraphFont"/>
    <w:rsid w:val="00AB0AA5"/>
  </w:style>
  <w:style w:type="character" w:styleId="FollowedHyperlink">
    <w:name w:val="FollowedHyperlink"/>
    <w:basedOn w:val="DefaultParagraphFont"/>
    <w:uiPriority w:val="99"/>
    <w:semiHidden/>
    <w:unhideWhenUsed/>
    <w:rsid w:val="0074298A"/>
    <w:rPr>
      <w:color w:val="800080" w:themeColor="followedHyperlink"/>
      <w:u w:val="single"/>
    </w:rPr>
  </w:style>
  <w:style w:type="character" w:customStyle="1" w:styleId="FootnotetextChar0">
    <w:name w:val="Footnote text Char"/>
    <w:basedOn w:val="FootnoteTextChar"/>
    <w:link w:val="Footnotetext0"/>
    <w:rsid w:val="00AF32CB"/>
    <w:rPr>
      <w:rFonts w:eastAsiaTheme="minorHAnsi"/>
    </w:rPr>
  </w:style>
  <w:style w:type="character" w:customStyle="1" w:styleId="klink">
    <w:name w:val="klink"/>
    <w:basedOn w:val="DefaultParagraphFont"/>
    <w:rsid w:val="00785B96"/>
  </w:style>
  <w:style w:type="paragraph" w:styleId="PlainText">
    <w:name w:val="Plain Text"/>
    <w:basedOn w:val="Normal"/>
    <w:link w:val="PlainTextChar"/>
    <w:uiPriority w:val="99"/>
    <w:semiHidden/>
    <w:unhideWhenUsed/>
    <w:rsid w:val="00EC2717"/>
    <w:pPr>
      <w:autoSpaceDE/>
      <w:autoSpaceDN/>
      <w:adjustRightInd/>
      <w:spacing w:before="0"/>
    </w:pPr>
    <w:rPr>
      <w:rFonts w:eastAsiaTheme="minorHAnsi" w:cstheme="minorBidi"/>
      <w:szCs w:val="21"/>
    </w:rPr>
  </w:style>
  <w:style w:type="character" w:customStyle="1" w:styleId="PlainTextChar">
    <w:name w:val="Plain Text Char"/>
    <w:basedOn w:val="DefaultParagraphFont"/>
    <w:link w:val="PlainText"/>
    <w:uiPriority w:val="99"/>
    <w:semiHidden/>
    <w:rsid w:val="00EC2717"/>
    <w:rPr>
      <w:rFonts w:ascii="Times New Roman" w:eastAsiaTheme="minorHAnsi" w:hAnsi="Times New Roman"/>
      <w:sz w:val="24"/>
      <w:szCs w:val="21"/>
    </w:rPr>
  </w:style>
  <w:style w:type="character" w:customStyle="1" w:styleId="style43">
    <w:name w:val="style43"/>
    <w:basedOn w:val="DefaultParagraphFont"/>
    <w:rsid w:val="00CF04A0"/>
  </w:style>
  <w:style w:type="character" w:customStyle="1" w:styleId="pgnum">
    <w:name w:val="pgnum"/>
    <w:basedOn w:val="DefaultParagraphFont"/>
    <w:rsid w:val="00D961C2"/>
  </w:style>
  <w:style w:type="character" w:customStyle="1" w:styleId="sup">
    <w:name w:val="sup"/>
    <w:basedOn w:val="DefaultParagraphFont"/>
    <w:rsid w:val="00D961C2"/>
  </w:style>
</w:styles>
</file>

<file path=word/webSettings.xml><?xml version="1.0" encoding="utf-8"?>
<w:webSettings xmlns:r="http://schemas.openxmlformats.org/officeDocument/2006/relationships" xmlns:w="http://schemas.openxmlformats.org/wordprocessingml/2006/main">
  <w:divs>
    <w:div w:id="82990382">
      <w:bodyDiv w:val="1"/>
      <w:marLeft w:val="0"/>
      <w:marRight w:val="0"/>
      <w:marTop w:val="0"/>
      <w:marBottom w:val="0"/>
      <w:divBdr>
        <w:top w:val="none" w:sz="0" w:space="0" w:color="auto"/>
        <w:left w:val="none" w:sz="0" w:space="0" w:color="auto"/>
        <w:bottom w:val="none" w:sz="0" w:space="0" w:color="auto"/>
        <w:right w:val="none" w:sz="0" w:space="0" w:color="auto"/>
      </w:divBdr>
    </w:div>
    <w:div w:id="145125043">
      <w:bodyDiv w:val="1"/>
      <w:marLeft w:val="0"/>
      <w:marRight w:val="0"/>
      <w:marTop w:val="0"/>
      <w:marBottom w:val="0"/>
      <w:divBdr>
        <w:top w:val="none" w:sz="0" w:space="0" w:color="auto"/>
        <w:left w:val="none" w:sz="0" w:space="0" w:color="auto"/>
        <w:bottom w:val="none" w:sz="0" w:space="0" w:color="auto"/>
        <w:right w:val="none" w:sz="0" w:space="0" w:color="auto"/>
      </w:divBdr>
      <w:divsChild>
        <w:div w:id="1760984130">
          <w:marLeft w:val="0"/>
          <w:marRight w:val="0"/>
          <w:marTop w:val="0"/>
          <w:marBottom w:val="0"/>
          <w:divBdr>
            <w:top w:val="none" w:sz="0" w:space="0" w:color="auto"/>
            <w:left w:val="none" w:sz="0" w:space="0" w:color="auto"/>
            <w:bottom w:val="none" w:sz="0" w:space="0" w:color="auto"/>
            <w:right w:val="none" w:sz="0" w:space="0" w:color="auto"/>
          </w:divBdr>
        </w:div>
        <w:div w:id="679628485">
          <w:marLeft w:val="0"/>
          <w:marRight w:val="0"/>
          <w:marTop w:val="0"/>
          <w:marBottom w:val="0"/>
          <w:divBdr>
            <w:top w:val="none" w:sz="0" w:space="0" w:color="auto"/>
            <w:left w:val="none" w:sz="0" w:space="0" w:color="auto"/>
            <w:bottom w:val="none" w:sz="0" w:space="0" w:color="auto"/>
            <w:right w:val="none" w:sz="0" w:space="0" w:color="auto"/>
          </w:divBdr>
        </w:div>
      </w:divsChild>
    </w:div>
    <w:div w:id="187374508">
      <w:bodyDiv w:val="1"/>
      <w:marLeft w:val="0"/>
      <w:marRight w:val="0"/>
      <w:marTop w:val="0"/>
      <w:marBottom w:val="0"/>
      <w:divBdr>
        <w:top w:val="none" w:sz="0" w:space="0" w:color="auto"/>
        <w:left w:val="none" w:sz="0" w:space="0" w:color="auto"/>
        <w:bottom w:val="none" w:sz="0" w:space="0" w:color="auto"/>
        <w:right w:val="none" w:sz="0" w:space="0" w:color="auto"/>
      </w:divBdr>
    </w:div>
    <w:div w:id="245650594">
      <w:bodyDiv w:val="1"/>
      <w:marLeft w:val="0"/>
      <w:marRight w:val="0"/>
      <w:marTop w:val="0"/>
      <w:marBottom w:val="0"/>
      <w:divBdr>
        <w:top w:val="none" w:sz="0" w:space="0" w:color="auto"/>
        <w:left w:val="none" w:sz="0" w:space="0" w:color="auto"/>
        <w:bottom w:val="none" w:sz="0" w:space="0" w:color="auto"/>
        <w:right w:val="none" w:sz="0" w:space="0" w:color="auto"/>
      </w:divBdr>
    </w:div>
    <w:div w:id="462695854">
      <w:bodyDiv w:val="1"/>
      <w:marLeft w:val="0"/>
      <w:marRight w:val="0"/>
      <w:marTop w:val="0"/>
      <w:marBottom w:val="0"/>
      <w:divBdr>
        <w:top w:val="none" w:sz="0" w:space="0" w:color="auto"/>
        <w:left w:val="none" w:sz="0" w:space="0" w:color="auto"/>
        <w:bottom w:val="none" w:sz="0" w:space="0" w:color="auto"/>
        <w:right w:val="none" w:sz="0" w:space="0" w:color="auto"/>
      </w:divBdr>
    </w:div>
    <w:div w:id="505249573">
      <w:bodyDiv w:val="1"/>
      <w:marLeft w:val="0"/>
      <w:marRight w:val="0"/>
      <w:marTop w:val="0"/>
      <w:marBottom w:val="0"/>
      <w:divBdr>
        <w:top w:val="none" w:sz="0" w:space="0" w:color="auto"/>
        <w:left w:val="none" w:sz="0" w:space="0" w:color="auto"/>
        <w:bottom w:val="none" w:sz="0" w:space="0" w:color="auto"/>
        <w:right w:val="none" w:sz="0" w:space="0" w:color="auto"/>
      </w:divBdr>
    </w:div>
    <w:div w:id="521283749">
      <w:bodyDiv w:val="1"/>
      <w:marLeft w:val="0"/>
      <w:marRight w:val="0"/>
      <w:marTop w:val="0"/>
      <w:marBottom w:val="0"/>
      <w:divBdr>
        <w:top w:val="none" w:sz="0" w:space="0" w:color="auto"/>
        <w:left w:val="none" w:sz="0" w:space="0" w:color="auto"/>
        <w:bottom w:val="none" w:sz="0" w:space="0" w:color="auto"/>
        <w:right w:val="none" w:sz="0" w:space="0" w:color="auto"/>
      </w:divBdr>
    </w:div>
    <w:div w:id="571045796">
      <w:bodyDiv w:val="1"/>
      <w:marLeft w:val="0"/>
      <w:marRight w:val="0"/>
      <w:marTop w:val="0"/>
      <w:marBottom w:val="0"/>
      <w:divBdr>
        <w:top w:val="none" w:sz="0" w:space="0" w:color="auto"/>
        <w:left w:val="none" w:sz="0" w:space="0" w:color="auto"/>
        <w:bottom w:val="none" w:sz="0" w:space="0" w:color="auto"/>
        <w:right w:val="none" w:sz="0" w:space="0" w:color="auto"/>
      </w:divBdr>
    </w:div>
    <w:div w:id="601764935">
      <w:bodyDiv w:val="1"/>
      <w:marLeft w:val="0"/>
      <w:marRight w:val="0"/>
      <w:marTop w:val="0"/>
      <w:marBottom w:val="0"/>
      <w:divBdr>
        <w:top w:val="none" w:sz="0" w:space="0" w:color="auto"/>
        <w:left w:val="none" w:sz="0" w:space="0" w:color="auto"/>
        <w:bottom w:val="none" w:sz="0" w:space="0" w:color="auto"/>
        <w:right w:val="none" w:sz="0" w:space="0" w:color="auto"/>
      </w:divBdr>
    </w:div>
    <w:div w:id="625889968">
      <w:bodyDiv w:val="1"/>
      <w:marLeft w:val="0"/>
      <w:marRight w:val="0"/>
      <w:marTop w:val="0"/>
      <w:marBottom w:val="0"/>
      <w:divBdr>
        <w:top w:val="none" w:sz="0" w:space="0" w:color="auto"/>
        <w:left w:val="none" w:sz="0" w:space="0" w:color="auto"/>
        <w:bottom w:val="none" w:sz="0" w:space="0" w:color="auto"/>
        <w:right w:val="none" w:sz="0" w:space="0" w:color="auto"/>
      </w:divBdr>
    </w:div>
    <w:div w:id="691688752">
      <w:bodyDiv w:val="1"/>
      <w:marLeft w:val="0"/>
      <w:marRight w:val="0"/>
      <w:marTop w:val="0"/>
      <w:marBottom w:val="0"/>
      <w:divBdr>
        <w:top w:val="none" w:sz="0" w:space="0" w:color="auto"/>
        <w:left w:val="none" w:sz="0" w:space="0" w:color="auto"/>
        <w:bottom w:val="none" w:sz="0" w:space="0" w:color="auto"/>
        <w:right w:val="none" w:sz="0" w:space="0" w:color="auto"/>
      </w:divBdr>
    </w:div>
    <w:div w:id="773473695">
      <w:bodyDiv w:val="1"/>
      <w:marLeft w:val="0"/>
      <w:marRight w:val="0"/>
      <w:marTop w:val="0"/>
      <w:marBottom w:val="0"/>
      <w:divBdr>
        <w:top w:val="none" w:sz="0" w:space="0" w:color="auto"/>
        <w:left w:val="none" w:sz="0" w:space="0" w:color="auto"/>
        <w:bottom w:val="none" w:sz="0" w:space="0" w:color="auto"/>
        <w:right w:val="none" w:sz="0" w:space="0" w:color="auto"/>
      </w:divBdr>
    </w:div>
    <w:div w:id="981155989">
      <w:bodyDiv w:val="1"/>
      <w:marLeft w:val="0"/>
      <w:marRight w:val="0"/>
      <w:marTop w:val="0"/>
      <w:marBottom w:val="0"/>
      <w:divBdr>
        <w:top w:val="none" w:sz="0" w:space="0" w:color="auto"/>
        <w:left w:val="none" w:sz="0" w:space="0" w:color="auto"/>
        <w:bottom w:val="none" w:sz="0" w:space="0" w:color="auto"/>
        <w:right w:val="none" w:sz="0" w:space="0" w:color="auto"/>
      </w:divBdr>
    </w:div>
    <w:div w:id="1025473527">
      <w:bodyDiv w:val="1"/>
      <w:marLeft w:val="0"/>
      <w:marRight w:val="0"/>
      <w:marTop w:val="0"/>
      <w:marBottom w:val="0"/>
      <w:divBdr>
        <w:top w:val="none" w:sz="0" w:space="0" w:color="auto"/>
        <w:left w:val="none" w:sz="0" w:space="0" w:color="auto"/>
        <w:bottom w:val="none" w:sz="0" w:space="0" w:color="auto"/>
        <w:right w:val="none" w:sz="0" w:space="0" w:color="auto"/>
      </w:divBdr>
    </w:div>
    <w:div w:id="1383751784">
      <w:bodyDiv w:val="1"/>
      <w:marLeft w:val="0"/>
      <w:marRight w:val="0"/>
      <w:marTop w:val="0"/>
      <w:marBottom w:val="0"/>
      <w:divBdr>
        <w:top w:val="none" w:sz="0" w:space="0" w:color="auto"/>
        <w:left w:val="none" w:sz="0" w:space="0" w:color="auto"/>
        <w:bottom w:val="none" w:sz="0" w:space="0" w:color="auto"/>
        <w:right w:val="none" w:sz="0" w:space="0" w:color="auto"/>
      </w:divBdr>
    </w:div>
    <w:div w:id="1450200075">
      <w:bodyDiv w:val="1"/>
      <w:marLeft w:val="0"/>
      <w:marRight w:val="0"/>
      <w:marTop w:val="0"/>
      <w:marBottom w:val="0"/>
      <w:divBdr>
        <w:top w:val="none" w:sz="0" w:space="0" w:color="auto"/>
        <w:left w:val="none" w:sz="0" w:space="0" w:color="auto"/>
        <w:bottom w:val="none" w:sz="0" w:space="0" w:color="auto"/>
        <w:right w:val="none" w:sz="0" w:space="0" w:color="auto"/>
      </w:divBdr>
    </w:div>
    <w:div w:id="1509364908">
      <w:bodyDiv w:val="1"/>
      <w:marLeft w:val="0"/>
      <w:marRight w:val="0"/>
      <w:marTop w:val="0"/>
      <w:marBottom w:val="0"/>
      <w:divBdr>
        <w:top w:val="none" w:sz="0" w:space="0" w:color="auto"/>
        <w:left w:val="none" w:sz="0" w:space="0" w:color="auto"/>
        <w:bottom w:val="none" w:sz="0" w:space="0" w:color="auto"/>
        <w:right w:val="none" w:sz="0" w:space="0" w:color="auto"/>
      </w:divBdr>
    </w:div>
    <w:div w:id="1580141275">
      <w:bodyDiv w:val="1"/>
      <w:marLeft w:val="0"/>
      <w:marRight w:val="0"/>
      <w:marTop w:val="0"/>
      <w:marBottom w:val="0"/>
      <w:divBdr>
        <w:top w:val="none" w:sz="0" w:space="0" w:color="auto"/>
        <w:left w:val="none" w:sz="0" w:space="0" w:color="auto"/>
        <w:bottom w:val="none" w:sz="0" w:space="0" w:color="auto"/>
        <w:right w:val="none" w:sz="0" w:space="0" w:color="auto"/>
      </w:divBdr>
    </w:div>
    <w:div w:id="1626811976">
      <w:bodyDiv w:val="1"/>
      <w:marLeft w:val="0"/>
      <w:marRight w:val="0"/>
      <w:marTop w:val="0"/>
      <w:marBottom w:val="0"/>
      <w:divBdr>
        <w:top w:val="none" w:sz="0" w:space="0" w:color="auto"/>
        <w:left w:val="none" w:sz="0" w:space="0" w:color="auto"/>
        <w:bottom w:val="none" w:sz="0" w:space="0" w:color="auto"/>
        <w:right w:val="none" w:sz="0" w:space="0" w:color="auto"/>
      </w:divBdr>
    </w:div>
    <w:div w:id="1662200870">
      <w:bodyDiv w:val="1"/>
      <w:marLeft w:val="0"/>
      <w:marRight w:val="0"/>
      <w:marTop w:val="0"/>
      <w:marBottom w:val="0"/>
      <w:divBdr>
        <w:top w:val="none" w:sz="0" w:space="0" w:color="auto"/>
        <w:left w:val="none" w:sz="0" w:space="0" w:color="auto"/>
        <w:bottom w:val="none" w:sz="0" w:space="0" w:color="auto"/>
        <w:right w:val="none" w:sz="0" w:space="0" w:color="auto"/>
      </w:divBdr>
    </w:div>
    <w:div w:id="1812670076">
      <w:bodyDiv w:val="1"/>
      <w:marLeft w:val="0"/>
      <w:marRight w:val="0"/>
      <w:marTop w:val="0"/>
      <w:marBottom w:val="0"/>
      <w:divBdr>
        <w:top w:val="none" w:sz="0" w:space="0" w:color="auto"/>
        <w:left w:val="none" w:sz="0" w:space="0" w:color="auto"/>
        <w:bottom w:val="none" w:sz="0" w:space="0" w:color="auto"/>
        <w:right w:val="none" w:sz="0" w:space="0" w:color="auto"/>
      </w:divBdr>
    </w:div>
    <w:div w:id="1991013311">
      <w:bodyDiv w:val="1"/>
      <w:marLeft w:val="0"/>
      <w:marRight w:val="0"/>
      <w:marTop w:val="0"/>
      <w:marBottom w:val="0"/>
      <w:divBdr>
        <w:top w:val="none" w:sz="0" w:space="0" w:color="auto"/>
        <w:left w:val="none" w:sz="0" w:space="0" w:color="auto"/>
        <w:bottom w:val="none" w:sz="0" w:space="0" w:color="auto"/>
        <w:right w:val="none" w:sz="0" w:space="0" w:color="auto"/>
      </w:divBdr>
    </w:div>
    <w:div w:id="20994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papers.ssrn.com/sol3/papers.cfm?%20abstract_id=2102655" TargetMode="External"/><Relationship Id="rId3" Type="http://schemas.openxmlformats.org/officeDocument/2006/relationships/hyperlink" Target="http://www.un.org/esa/%20sustdev/publications/industrial_development/1_2.pdf" TargetMode="External"/><Relationship Id="rId7" Type="http://schemas.openxmlformats.org/officeDocument/2006/relationships/hyperlink" Target="http://www.bcorporation.net/" TargetMode="External"/><Relationship Id="rId2" Type="http://schemas.openxmlformats.org/officeDocument/2006/relationships/hyperlink" Target="http://www.bain.com/publications/%20business-insights/global-private-equity-report.aspx" TargetMode="External"/><Relationship Id="rId1" Type="http://schemas.openxmlformats.org/officeDocument/2006/relationships/hyperlink" Target="http://www.bis.org/statistics/derstats.htm" TargetMode="External"/><Relationship Id="rId6" Type="http://schemas.openxmlformats.org/officeDocument/2006/relationships/hyperlink" Target="http://www.benefitcorp.net/state-by-state-legislative-status" TargetMode="External"/><Relationship Id="rId5" Type="http://schemas.openxmlformats.org/officeDocument/2006/relationships/hyperlink" Target="http://corp.delaware.gov/pdfs/2012%20CorpAR.pdf" TargetMode="External"/><Relationship Id="rId4" Type="http://schemas.openxmlformats.org/officeDocument/2006/relationships/hyperlink" Target="http://www.kickstarter.com/" TargetMode="External"/><Relationship Id="rId9" Type="http://schemas.openxmlformats.org/officeDocument/2006/relationships/hyperlink" Target="http://meetings.abanet.org/webupload/%20commupload/CL870000/sitesofinterest_files/white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9D62-BD25-4D78-9120-B23BB8C8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2530</TotalTime>
  <Pages>20</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dc:creator>
  <cp:lastModifiedBy>Gary W. Derrick</cp:lastModifiedBy>
  <cp:revision>120</cp:revision>
  <cp:lastPrinted>2013-11-13T22:29:00Z</cp:lastPrinted>
  <dcterms:created xsi:type="dcterms:W3CDTF">2013-01-31T15:40:00Z</dcterms:created>
  <dcterms:modified xsi:type="dcterms:W3CDTF">2014-11-29T19:57:00Z</dcterms:modified>
</cp:coreProperties>
</file>