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B18" w:rsidRPr="0028017F" w:rsidRDefault="00331B18" w:rsidP="00331B18">
      <w:pPr>
        <w:spacing w:before="0"/>
        <w:jc w:val="center"/>
        <w:rPr>
          <w:rFonts w:eastAsia="Times New Roman"/>
          <w:szCs w:val="24"/>
        </w:rPr>
      </w:pPr>
    </w:p>
    <w:p w:rsidR="00331B18" w:rsidRDefault="00331B18" w:rsidP="00331B18">
      <w:pPr>
        <w:keepNext/>
        <w:overflowPunct w:val="0"/>
        <w:spacing w:before="240" w:after="60"/>
        <w:jc w:val="center"/>
        <w:textAlignment w:val="baseline"/>
        <w:outlineLvl w:val="0"/>
        <w:rPr>
          <w:rFonts w:eastAsia="Times New Roman" w:cs="Arial"/>
          <w:b/>
          <w:caps/>
          <w:kern w:val="32"/>
          <w:szCs w:val="32"/>
        </w:rPr>
      </w:pPr>
      <w:r w:rsidRPr="00AB5193">
        <w:rPr>
          <w:rFonts w:eastAsia="Times New Roman" w:cs="Arial"/>
          <w:b/>
          <w:caps/>
          <w:kern w:val="32"/>
          <w:szCs w:val="32"/>
        </w:rPr>
        <w:t>recent DEVELOPMENTS in</w:t>
      </w:r>
    </w:p>
    <w:p w:rsidR="00331B18" w:rsidRPr="00AB5193" w:rsidRDefault="00331B18" w:rsidP="00331B18">
      <w:pPr>
        <w:keepNext/>
        <w:overflowPunct w:val="0"/>
        <w:spacing w:before="240" w:after="60"/>
        <w:jc w:val="center"/>
        <w:textAlignment w:val="baseline"/>
        <w:outlineLvl w:val="0"/>
        <w:rPr>
          <w:rFonts w:eastAsia="Times New Roman" w:cs="Arial"/>
          <w:b/>
          <w:caps/>
          <w:kern w:val="32"/>
          <w:szCs w:val="32"/>
        </w:rPr>
      </w:pPr>
      <w:r w:rsidRPr="00AB5193">
        <w:rPr>
          <w:rFonts w:eastAsia="Times New Roman" w:cs="Arial"/>
          <w:b/>
          <w:caps/>
          <w:kern w:val="32"/>
          <w:szCs w:val="32"/>
        </w:rPr>
        <w:t>OKLAHOMA b</w:t>
      </w:r>
      <w:r>
        <w:rPr>
          <w:rFonts w:eastAsia="Times New Roman" w:cs="Arial"/>
          <w:b/>
          <w:caps/>
          <w:kern w:val="32"/>
          <w:szCs w:val="32"/>
        </w:rPr>
        <w:t xml:space="preserve">usiness and corporate law </w:t>
      </w:r>
      <w:r>
        <w:rPr>
          <w:rFonts w:eastAsia="Times New Roman" w:cs="Arial"/>
          <w:b/>
          <w:caps/>
          <w:kern w:val="32"/>
          <w:szCs w:val="32"/>
        </w:rPr>
        <w:noBreakHyphen/>
        <w:t> 20</w:t>
      </w:r>
      <w:r w:rsidR="00B0041A">
        <w:rPr>
          <w:rFonts w:eastAsia="Times New Roman" w:cs="Arial"/>
          <w:b/>
          <w:caps/>
          <w:kern w:val="32"/>
          <w:szCs w:val="32"/>
        </w:rPr>
        <w:t>1</w:t>
      </w:r>
      <w:r>
        <w:rPr>
          <w:rFonts w:eastAsia="Times New Roman" w:cs="Arial"/>
          <w:b/>
          <w:caps/>
          <w:kern w:val="32"/>
          <w:szCs w:val="32"/>
        </w:rPr>
        <w:t>0</w:t>
      </w:r>
    </w:p>
    <w:p w:rsidR="00331B18" w:rsidRPr="0028017F" w:rsidRDefault="00331B18" w:rsidP="00331B18">
      <w:pPr>
        <w:spacing w:before="0"/>
        <w:jc w:val="center"/>
        <w:rPr>
          <w:rFonts w:eastAsia="Times New Roman"/>
          <w:b/>
          <w:bCs/>
          <w:szCs w:val="24"/>
        </w:rPr>
      </w:pPr>
    </w:p>
    <w:p w:rsidR="00331B18" w:rsidRPr="0028017F" w:rsidRDefault="00331B18" w:rsidP="00331B18">
      <w:pPr>
        <w:spacing w:before="0"/>
        <w:jc w:val="center"/>
        <w:rPr>
          <w:rFonts w:eastAsia="Times New Roman"/>
          <w:b/>
          <w:bCs/>
          <w:szCs w:val="24"/>
        </w:rPr>
      </w:pPr>
    </w:p>
    <w:p w:rsidR="00331B18" w:rsidRPr="0028017F" w:rsidRDefault="00331B18" w:rsidP="00331B18">
      <w:pPr>
        <w:spacing w:before="0"/>
        <w:jc w:val="center"/>
        <w:rPr>
          <w:rFonts w:eastAsia="Times New Roman"/>
          <w:szCs w:val="24"/>
        </w:rPr>
      </w:pPr>
    </w:p>
    <w:p w:rsidR="00331B18" w:rsidRPr="0028017F" w:rsidRDefault="00331B18" w:rsidP="00331B18">
      <w:pPr>
        <w:spacing w:before="0"/>
        <w:jc w:val="center"/>
        <w:rPr>
          <w:rFonts w:eastAsia="Times New Roman"/>
          <w:szCs w:val="24"/>
        </w:rPr>
      </w:pPr>
    </w:p>
    <w:p w:rsidR="00331B18" w:rsidRPr="0028017F" w:rsidRDefault="00331B18" w:rsidP="00331B18">
      <w:pPr>
        <w:spacing w:before="0"/>
        <w:jc w:val="center"/>
        <w:rPr>
          <w:rFonts w:eastAsia="Times New Roman"/>
          <w:szCs w:val="24"/>
        </w:rPr>
      </w:pPr>
    </w:p>
    <w:p w:rsidR="00331B18" w:rsidRPr="0028017F" w:rsidRDefault="00331B18" w:rsidP="00331B18">
      <w:pPr>
        <w:spacing w:before="240" w:after="240"/>
        <w:jc w:val="center"/>
        <w:rPr>
          <w:rFonts w:eastAsia="Times New Roman"/>
          <w:szCs w:val="24"/>
        </w:rPr>
      </w:pPr>
    </w:p>
    <w:p w:rsidR="00331B18" w:rsidRPr="0028017F" w:rsidRDefault="00331B18" w:rsidP="00331B18">
      <w:pPr>
        <w:spacing w:before="0"/>
        <w:jc w:val="center"/>
        <w:rPr>
          <w:rFonts w:eastAsia="Times New Roman"/>
          <w:szCs w:val="24"/>
        </w:rPr>
      </w:pPr>
      <w:r w:rsidRPr="0028017F">
        <w:rPr>
          <w:rFonts w:eastAsia="Times New Roman"/>
          <w:szCs w:val="24"/>
        </w:rPr>
        <w:t>Gary W. Derrick</w:t>
      </w:r>
    </w:p>
    <w:p w:rsidR="00331B18" w:rsidRPr="0028017F" w:rsidRDefault="00331B18" w:rsidP="00331B18">
      <w:pPr>
        <w:spacing w:before="0"/>
        <w:jc w:val="center"/>
        <w:rPr>
          <w:rFonts w:eastAsia="Times New Roman"/>
          <w:szCs w:val="24"/>
        </w:rPr>
      </w:pPr>
      <w:r w:rsidRPr="0028017F">
        <w:rPr>
          <w:rFonts w:eastAsia="Times New Roman"/>
          <w:szCs w:val="24"/>
        </w:rPr>
        <w:t>Derrick &amp; Briggs, LLP</w:t>
      </w:r>
    </w:p>
    <w:p w:rsidR="00331B18" w:rsidRPr="0028017F" w:rsidRDefault="00331B18" w:rsidP="00331B18">
      <w:pPr>
        <w:spacing w:before="0"/>
        <w:jc w:val="center"/>
        <w:rPr>
          <w:rFonts w:eastAsia="Times New Roman"/>
          <w:szCs w:val="24"/>
        </w:rPr>
      </w:pPr>
    </w:p>
    <w:p w:rsidR="00331B18" w:rsidRDefault="00331B18" w:rsidP="00331B18">
      <w:pPr>
        <w:spacing w:before="0"/>
        <w:jc w:val="center"/>
        <w:rPr>
          <w:rFonts w:eastAsia="Times New Roman"/>
          <w:szCs w:val="24"/>
        </w:rPr>
      </w:pPr>
    </w:p>
    <w:p w:rsidR="00331B18" w:rsidRDefault="00331B18" w:rsidP="00331B18">
      <w:pPr>
        <w:spacing w:before="0"/>
        <w:jc w:val="center"/>
        <w:rPr>
          <w:rFonts w:eastAsia="Times New Roman"/>
          <w:szCs w:val="24"/>
        </w:rPr>
      </w:pPr>
    </w:p>
    <w:p w:rsidR="00331B18" w:rsidRDefault="00331B18" w:rsidP="00331B18">
      <w:pPr>
        <w:spacing w:before="0"/>
        <w:jc w:val="center"/>
        <w:rPr>
          <w:rFonts w:eastAsia="Times New Roman"/>
          <w:szCs w:val="24"/>
        </w:rPr>
      </w:pPr>
    </w:p>
    <w:p w:rsidR="00331B18" w:rsidRPr="0028017F" w:rsidRDefault="00331B18" w:rsidP="00331B18">
      <w:pPr>
        <w:spacing w:before="0"/>
        <w:jc w:val="center"/>
        <w:rPr>
          <w:rFonts w:eastAsia="Times New Roman"/>
          <w:szCs w:val="24"/>
        </w:rPr>
      </w:pPr>
    </w:p>
    <w:p w:rsidR="00331B18" w:rsidRPr="0028017F" w:rsidRDefault="00331B18" w:rsidP="00331B18">
      <w:pPr>
        <w:spacing w:before="0"/>
        <w:jc w:val="center"/>
        <w:rPr>
          <w:rFonts w:eastAsia="Times New Roman"/>
          <w:szCs w:val="24"/>
        </w:rPr>
      </w:pPr>
    </w:p>
    <w:p w:rsidR="00331B18" w:rsidRPr="0028017F" w:rsidRDefault="00331B18" w:rsidP="00331B18">
      <w:pPr>
        <w:ind w:firstLine="720"/>
        <w:jc w:val="right"/>
        <w:rPr>
          <w:rFonts w:eastAsia="Times New Roman"/>
          <w:szCs w:val="24"/>
        </w:rPr>
      </w:pPr>
    </w:p>
    <w:p w:rsidR="00331B18" w:rsidRPr="0028017F" w:rsidRDefault="00331B18" w:rsidP="00331B18">
      <w:pPr>
        <w:ind w:firstLine="720"/>
        <w:jc w:val="right"/>
        <w:rPr>
          <w:rFonts w:eastAsia="Times New Roman"/>
          <w:szCs w:val="24"/>
        </w:rPr>
      </w:pPr>
    </w:p>
    <w:p w:rsidR="00331B18" w:rsidRPr="0028017F" w:rsidRDefault="00331B18" w:rsidP="00331B18">
      <w:pPr>
        <w:ind w:firstLine="720"/>
        <w:jc w:val="right"/>
        <w:rPr>
          <w:rFonts w:eastAsia="Times New Roman"/>
          <w:szCs w:val="24"/>
        </w:rPr>
      </w:pPr>
    </w:p>
    <w:p w:rsidR="00331B18" w:rsidRPr="0028017F" w:rsidRDefault="00331B18" w:rsidP="00331B18">
      <w:pPr>
        <w:ind w:firstLine="720"/>
        <w:jc w:val="right"/>
        <w:rPr>
          <w:rFonts w:eastAsia="Times New Roman"/>
          <w:szCs w:val="24"/>
        </w:rPr>
      </w:pPr>
    </w:p>
    <w:p w:rsidR="00331B18" w:rsidRPr="0028017F" w:rsidRDefault="00331B18" w:rsidP="00331B18">
      <w:pPr>
        <w:ind w:firstLine="720"/>
        <w:jc w:val="right"/>
        <w:rPr>
          <w:rFonts w:eastAsia="Times New Roman"/>
          <w:szCs w:val="24"/>
        </w:rPr>
      </w:pPr>
    </w:p>
    <w:p w:rsidR="00331B18" w:rsidRPr="0028017F" w:rsidRDefault="00331B18" w:rsidP="00331B18">
      <w:pPr>
        <w:ind w:firstLine="720"/>
        <w:jc w:val="right"/>
        <w:rPr>
          <w:rFonts w:eastAsia="Times New Roman"/>
          <w:szCs w:val="24"/>
        </w:rPr>
      </w:pPr>
    </w:p>
    <w:p w:rsidR="00331B18" w:rsidRPr="0028017F" w:rsidRDefault="00331B18" w:rsidP="00331B18">
      <w:pPr>
        <w:ind w:firstLine="720"/>
        <w:jc w:val="right"/>
        <w:rPr>
          <w:rFonts w:eastAsia="Times New Roman"/>
          <w:szCs w:val="24"/>
        </w:rPr>
      </w:pPr>
    </w:p>
    <w:p w:rsidR="00331B18" w:rsidRPr="0028017F" w:rsidRDefault="00331B18" w:rsidP="00331B18">
      <w:pPr>
        <w:ind w:firstLine="720"/>
        <w:jc w:val="right"/>
        <w:rPr>
          <w:rFonts w:eastAsia="Times New Roman"/>
          <w:szCs w:val="24"/>
        </w:rPr>
      </w:pPr>
    </w:p>
    <w:p w:rsidR="00331B18" w:rsidRPr="0028017F" w:rsidRDefault="00331B18" w:rsidP="00331B18">
      <w:pPr>
        <w:ind w:firstLine="720"/>
        <w:jc w:val="right"/>
        <w:rPr>
          <w:rFonts w:eastAsia="Times New Roman"/>
          <w:szCs w:val="24"/>
        </w:rPr>
      </w:pPr>
    </w:p>
    <w:p w:rsidR="00331B18" w:rsidRPr="0028017F" w:rsidRDefault="00331B18" w:rsidP="00331B18">
      <w:pPr>
        <w:jc w:val="right"/>
        <w:rPr>
          <w:rFonts w:eastAsia="Times New Roman"/>
          <w:szCs w:val="24"/>
        </w:rPr>
      </w:pPr>
    </w:p>
    <w:p w:rsidR="00331B18" w:rsidRPr="0028017F" w:rsidRDefault="00331B18" w:rsidP="00331B18">
      <w:pPr>
        <w:ind w:firstLine="720"/>
        <w:rPr>
          <w:rFonts w:eastAsia="Times New Roman"/>
          <w:szCs w:val="24"/>
        </w:rPr>
        <w:sectPr w:rsidR="00331B18" w:rsidRPr="0028017F">
          <w:footerReference w:type="even" r:id="rId8"/>
          <w:footerReference w:type="default" r:id="rId9"/>
          <w:footerReference w:type="first" r:id="rId10"/>
          <w:pgSz w:w="12240" w:h="15840" w:code="1"/>
          <w:pgMar w:top="4320" w:right="1800" w:bottom="1440" w:left="1800" w:header="720" w:footer="720" w:gutter="0"/>
          <w:paperSrc w:first="11"/>
          <w:pgNumType w:start="2"/>
          <w:cols w:space="720"/>
          <w:titlePg/>
        </w:sectPr>
      </w:pPr>
    </w:p>
    <w:p w:rsidR="00331B18" w:rsidRPr="00AB5193" w:rsidRDefault="00331B18" w:rsidP="00331B18">
      <w:pPr>
        <w:keepNext/>
        <w:overflowPunct w:val="0"/>
        <w:spacing w:before="240" w:after="60"/>
        <w:jc w:val="center"/>
        <w:textAlignment w:val="baseline"/>
        <w:outlineLvl w:val="0"/>
        <w:rPr>
          <w:rFonts w:eastAsia="Times New Roman" w:cs="Arial"/>
          <w:b/>
          <w:caps/>
          <w:kern w:val="32"/>
          <w:szCs w:val="32"/>
        </w:rPr>
      </w:pPr>
      <w:r w:rsidRPr="00AB5193">
        <w:rPr>
          <w:rFonts w:eastAsia="Times New Roman" w:cs="Arial"/>
          <w:b/>
          <w:caps/>
          <w:kern w:val="32"/>
          <w:szCs w:val="32"/>
        </w:rPr>
        <w:lastRenderedPageBreak/>
        <w:t xml:space="preserve">recent DEVELOPMENTS in </w:t>
      </w:r>
      <w:r w:rsidRPr="00AB5193">
        <w:rPr>
          <w:rFonts w:eastAsia="Times New Roman" w:cs="Arial"/>
          <w:b/>
          <w:caps/>
          <w:kern w:val="32"/>
          <w:szCs w:val="32"/>
        </w:rPr>
        <w:br/>
        <w:t>OKLAHOMA b</w:t>
      </w:r>
      <w:r>
        <w:rPr>
          <w:rFonts w:eastAsia="Times New Roman" w:cs="Arial"/>
          <w:b/>
          <w:caps/>
          <w:kern w:val="32"/>
          <w:szCs w:val="32"/>
        </w:rPr>
        <w:t xml:space="preserve">usiness and corporate law </w:t>
      </w:r>
      <w:r>
        <w:rPr>
          <w:rFonts w:eastAsia="Times New Roman" w:cs="Arial"/>
          <w:b/>
          <w:caps/>
          <w:kern w:val="32"/>
          <w:szCs w:val="32"/>
        </w:rPr>
        <w:noBreakHyphen/>
        <w:t> </w:t>
      </w:r>
      <w:r w:rsidR="00611F44">
        <w:rPr>
          <w:rFonts w:eastAsia="Times New Roman" w:cs="Arial"/>
          <w:b/>
          <w:caps/>
          <w:kern w:val="32"/>
          <w:szCs w:val="32"/>
        </w:rPr>
        <w:t>20</w:t>
      </w:r>
      <w:r w:rsidR="00B0041A">
        <w:rPr>
          <w:rFonts w:eastAsia="Times New Roman" w:cs="Arial"/>
          <w:b/>
          <w:caps/>
          <w:kern w:val="32"/>
          <w:szCs w:val="32"/>
        </w:rPr>
        <w:t>1</w:t>
      </w:r>
      <w:r w:rsidR="00611F44">
        <w:rPr>
          <w:rFonts w:eastAsia="Times New Roman" w:cs="Arial"/>
          <w:b/>
          <w:caps/>
          <w:kern w:val="32"/>
          <w:szCs w:val="32"/>
        </w:rPr>
        <w:t>0</w:t>
      </w:r>
    </w:p>
    <w:p w:rsidR="00331B18" w:rsidRPr="00AB5193" w:rsidRDefault="00331B18" w:rsidP="00836869">
      <w:pPr>
        <w:keepNext/>
        <w:overflowPunct w:val="0"/>
        <w:spacing w:before="360" w:after="60"/>
        <w:textAlignment w:val="baseline"/>
        <w:outlineLvl w:val="1"/>
        <w:rPr>
          <w:rFonts w:eastAsia="Times New Roman"/>
          <w:b/>
        </w:rPr>
      </w:pPr>
      <w:r w:rsidRPr="00AB5193">
        <w:rPr>
          <w:rFonts w:eastAsia="Times New Roman"/>
          <w:b/>
        </w:rPr>
        <w:t>Introduction</w:t>
      </w:r>
    </w:p>
    <w:p w:rsidR="003F0B6A" w:rsidRDefault="00947D12" w:rsidP="003F0B6A">
      <w:pPr>
        <w:overflowPunct w:val="0"/>
        <w:spacing w:before="360" w:line="360" w:lineRule="auto"/>
        <w:ind w:firstLine="720"/>
        <w:textAlignment w:val="baseline"/>
        <w:rPr>
          <w:rFonts w:eastAsia="Times New Roman"/>
        </w:rPr>
      </w:pPr>
      <w:r>
        <w:rPr>
          <w:rFonts w:eastAsia="Times New Roman"/>
        </w:rPr>
        <w:t xml:space="preserve">This is the fourth year in which the economic crisis has </w:t>
      </w:r>
      <w:r w:rsidR="00767441">
        <w:rPr>
          <w:rFonts w:eastAsia="Times New Roman"/>
        </w:rPr>
        <w:t xml:space="preserve">dominated </w:t>
      </w:r>
      <w:r>
        <w:rPr>
          <w:rFonts w:eastAsia="Times New Roman"/>
        </w:rPr>
        <w:t>our business and corporate law developments.  R</w:t>
      </w:r>
      <w:r w:rsidR="00F9444C">
        <w:rPr>
          <w:rFonts w:eastAsia="Times New Roman"/>
        </w:rPr>
        <w:t>egulatory change</w:t>
      </w:r>
      <w:r w:rsidR="00163E31">
        <w:rPr>
          <w:rFonts w:eastAsia="Times New Roman"/>
        </w:rPr>
        <w:t xml:space="preserve">s for corporations and financial institutions </w:t>
      </w:r>
      <w:r w:rsidR="00F9444C">
        <w:rPr>
          <w:rFonts w:eastAsia="Times New Roman"/>
        </w:rPr>
        <w:t xml:space="preserve">at the Federal and international levels greatly overshadow </w:t>
      </w:r>
      <w:r w:rsidR="003F0B6A">
        <w:rPr>
          <w:rFonts w:eastAsia="Times New Roman"/>
        </w:rPr>
        <w:t xml:space="preserve">the </w:t>
      </w:r>
      <w:r w:rsidR="00B2293A">
        <w:rPr>
          <w:rFonts w:eastAsia="Times New Roman"/>
        </w:rPr>
        <w:t>more</w:t>
      </w:r>
      <w:r w:rsidR="00615BEA">
        <w:rPr>
          <w:rFonts w:eastAsia="Times New Roman"/>
        </w:rPr>
        <w:t xml:space="preserve"> </w:t>
      </w:r>
      <w:r w:rsidR="003F0B6A">
        <w:rPr>
          <w:rFonts w:eastAsia="Times New Roman"/>
        </w:rPr>
        <w:t xml:space="preserve">meager developments in Oklahoma business and corporate law.  We </w:t>
      </w:r>
      <w:r w:rsidR="00163E31">
        <w:rPr>
          <w:rFonts w:eastAsia="Times New Roman"/>
        </w:rPr>
        <w:t xml:space="preserve">shall </w:t>
      </w:r>
      <w:r w:rsidR="003F0B6A">
        <w:rPr>
          <w:rFonts w:eastAsia="Times New Roman"/>
        </w:rPr>
        <w:t>cover the</w:t>
      </w:r>
      <w:r w:rsidR="00163E31">
        <w:rPr>
          <w:rFonts w:eastAsia="Times New Roman"/>
        </w:rPr>
        <w:t>se</w:t>
      </w:r>
      <w:r w:rsidR="003F0B6A">
        <w:rPr>
          <w:rFonts w:eastAsia="Times New Roman"/>
        </w:rPr>
        <w:t xml:space="preserve"> larger developments</w:t>
      </w:r>
      <w:r>
        <w:rPr>
          <w:rFonts w:eastAsia="Times New Roman"/>
        </w:rPr>
        <w:t xml:space="preserve"> – </w:t>
      </w:r>
      <w:r w:rsidR="00767441">
        <w:rPr>
          <w:rFonts w:eastAsia="Times New Roman"/>
        </w:rPr>
        <w:t xml:space="preserve">focusing on </w:t>
      </w:r>
      <w:r>
        <w:rPr>
          <w:rFonts w:eastAsia="Times New Roman"/>
        </w:rPr>
        <w:t>the Dodd-Frank Act</w:t>
      </w:r>
      <w:r w:rsidR="007C692E">
        <w:rPr>
          <w:rStyle w:val="FootnoteReference"/>
          <w:rFonts w:eastAsia="Times New Roman"/>
        </w:rPr>
        <w:footnoteReference w:id="1"/>
      </w:r>
      <w:r>
        <w:rPr>
          <w:rFonts w:eastAsia="Times New Roman"/>
        </w:rPr>
        <w:t xml:space="preserve"> </w:t>
      </w:r>
      <w:r>
        <w:rPr>
          <w:rFonts w:eastAsia="Times New Roman"/>
        </w:rPr>
        <w:noBreakHyphen/>
        <w:t xml:space="preserve"> </w:t>
      </w:r>
      <w:r w:rsidR="00163E31">
        <w:rPr>
          <w:rFonts w:eastAsia="Times New Roman"/>
        </w:rPr>
        <w:t xml:space="preserve">as well as </w:t>
      </w:r>
      <w:r w:rsidR="003F0B6A">
        <w:rPr>
          <w:rFonts w:eastAsia="Times New Roman"/>
        </w:rPr>
        <w:t xml:space="preserve">the Oklahoma developments.  </w:t>
      </w:r>
      <w:r w:rsidR="00163E31">
        <w:rPr>
          <w:rFonts w:eastAsia="Times New Roman"/>
        </w:rPr>
        <w:t xml:space="preserve">While there were no notable </w:t>
      </w:r>
      <w:r w:rsidR="0034201C">
        <w:rPr>
          <w:rFonts w:eastAsia="Times New Roman"/>
        </w:rPr>
        <w:t xml:space="preserve">Oklahoma </w:t>
      </w:r>
      <w:r w:rsidR="00163E31">
        <w:rPr>
          <w:rFonts w:eastAsia="Times New Roman"/>
        </w:rPr>
        <w:t xml:space="preserve">cases this year, we </w:t>
      </w:r>
      <w:r w:rsidR="00331B18">
        <w:rPr>
          <w:rFonts w:eastAsia="Times New Roman"/>
        </w:rPr>
        <w:t xml:space="preserve">have new legislation </w:t>
      </w:r>
      <w:r w:rsidR="003F0B6A">
        <w:rPr>
          <w:rFonts w:eastAsia="Times New Roman"/>
        </w:rPr>
        <w:t xml:space="preserve">in the Uniform Limited </w:t>
      </w:r>
      <w:r w:rsidR="00163E31">
        <w:rPr>
          <w:rFonts w:eastAsia="Times New Roman"/>
        </w:rPr>
        <w:t>Partnership</w:t>
      </w:r>
      <w:r w:rsidR="008724C8">
        <w:rPr>
          <w:rFonts w:eastAsia="Times New Roman"/>
        </w:rPr>
        <w:t xml:space="preserve"> </w:t>
      </w:r>
      <w:r w:rsidR="003F0B6A">
        <w:rPr>
          <w:rFonts w:eastAsia="Times New Roman"/>
        </w:rPr>
        <w:t>Act.</w:t>
      </w:r>
      <w:r w:rsidR="00331B18">
        <w:rPr>
          <w:rFonts w:eastAsia="Times New Roman"/>
        </w:rPr>
        <w:t xml:space="preserve"> </w:t>
      </w:r>
    </w:p>
    <w:p w:rsidR="00331B18" w:rsidRDefault="00947D12" w:rsidP="00331B18">
      <w:pPr>
        <w:overflowPunct w:val="0"/>
        <w:spacing w:line="360" w:lineRule="auto"/>
        <w:ind w:firstLine="720"/>
        <w:textAlignment w:val="baseline"/>
        <w:rPr>
          <w:rFonts w:eastAsia="Times New Roman"/>
        </w:rPr>
      </w:pPr>
      <w:r>
        <w:rPr>
          <w:rFonts w:eastAsia="Times New Roman"/>
        </w:rPr>
        <w:t xml:space="preserve">A brief survey of the past four years will set the stage for this year’s Federal developments.  </w:t>
      </w:r>
      <w:r w:rsidR="003F0B6A">
        <w:rPr>
          <w:rFonts w:eastAsia="Times New Roman"/>
        </w:rPr>
        <w:t>In 2007</w:t>
      </w:r>
      <w:r w:rsidR="00331B18">
        <w:rPr>
          <w:rFonts w:eastAsia="Times New Roman"/>
        </w:rPr>
        <w:t>, we examin</w:t>
      </w:r>
      <w:r>
        <w:rPr>
          <w:rFonts w:eastAsia="Times New Roman"/>
        </w:rPr>
        <w:t>ed</w:t>
      </w:r>
      <w:r w:rsidR="00331B18">
        <w:rPr>
          <w:rFonts w:eastAsia="Times New Roman"/>
        </w:rPr>
        <w:t xml:space="preserve"> the subprime mortgage crisis, which was precipitated by a drop in housing prices.</w:t>
      </w:r>
      <w:r w:rsidR="00331B18">
        <w:rPr>
          <w:rStyle w:val="FootnoteReference"/>
          <w:rFonts w:eastAsia="Times New Roman"/>
        </w:rPr>
        <w:footnoteReference w:id="2"/>
      </w:r>
      <w:r>
        <w:rPr>
          <w:rFonts w:eastAsia="Times New Roman"/>
        </w:rPr>
        <w:t xml:space="preserve">  </w:t>
      </w:r>
      <w:r w:rsidR="00331B18">
        <w:rPr>
          <w:rFonts w:eastAsia="Times New Roman"/>
        </w:rPr>
        <w:t xml:space="preserve">The financial crisis deepened </w:t>
      </w:r>
      <w:r w:rsidR="0034201C">
        <w:rPr>
          <w:rFonts w:eastAsia="Times New Roman"/>
        </w:rPr>
        <w:t xml:space="preserve">dramatically in 2008 </w:t>
      </w:r>
      <w:r w:rsidR="00331B18">
        <w:rPr>
          <w:rFonts w:eastAsia="Times New Roman"/>
        </w:rPr>
        <w:t xml:space="preserve">as the fallout from the subprime mortgage crisis spread.  </w:t>
      </w:r>
      <w:r w:rsidR="009F1B47">
        <w:rPr>
          <w:rFonts w:eastAsia="Times New Roman"/>
        </w:rPr>
        <w:t xml:space="preserve">The crisis would cause the venerable </w:t>
      </w:r>
      <w:r w:rsidR="00331B18">
        <w:rPr>
          <w:rFonts w:eastAsia="Times New Roman"/>
        </w:rPr>
        <w:t xml:space="preserve">Lehman Brothers </w:t>
      </w:r>
      <w:r w:rsidR="009F1B47">
        <w:rPr>
          <w:rFonts w:eastAsia="Times New Roman"/>
        </w:rPr>
        <w:t>to fail, which shook financial markets worldwide.</w:t>
      </w:r>
      <w:r w:rsidR="00331B18">
        <w:rPr>
          <w:rStyle w:val="FootnoteReference"/>
          <w:rFonts w:eastAsia="Times New Roman"/>
        </w:rPr>
        <w:footnoteReference w:id="3"/>
      </w:r>
      <w:r w:rsidR="00331B18">
        <w:rPr>
          <w:rFonts w:eastAsia="Times New Roman"/>
        </w:rPr>
        <w:t xml:space="preserve">  </w:t>
      </w:r>
      <w:r w:rsidR="009F1B47">
        <w:rPr>
          <w:rFonts w:eastAsia="Times New Roman"/>
        </w:rPr>
        <w:t xml:space="preserve">In </w:t>
      </w:r>
      <w:r w:rsidR="00615BEA">
        <w:rPr>
          <w:rFonts w:eastAsia="Times New Roman"/>
        </w:rPr>
        <w:t>its</w:t>
      </w:r>
      <w:r w:rsidR="009F1B47">
        <w:rPr>
          <w:rFonts w:eastAsia="Times New Roman"/>
        </w:rPr>
        <w:t xml:space="preserve"> wake, </w:t>
      </w:r>
      <w:r w:rsidR="00331B18">
        <w:rPr>
          <w:rFonts w:eastAsia="Times New Roman"/>
        </w:rPr>
        <w:t>the U.S. Treasury nationalize</w:t>
      </w:r>
      <w:r w:rsidR="009F1B47">
        <w:rPr>
          <w:rFonts w:eastAsia="Times New Roman"/>
        </w:rPr>
        <w:t>d</w:t>
      </w:r>
      <w:r w:rsidR="00331B18">
        <w:rPr>
          <w:rFonts w:eastAsia="Times New Roman"/>
        </w:rPr>
        <w:t xml:space="preserve"> Fannie Mae and Freddie Mac</w:t>
      </w:r>
      <w:r w:rsidR="009F1B47">
        <w:rPr>
          <w:rFonts w:eastAsia="Times New Roman"/>
        </w:rPr>
        <w:t xml:space="preserve">, Bank of America scooped up the </w:t>
      </w:r>
      <w:r w:rsidR="00331B18">
        <w:rPr>
          <w:rFonts w:eastAsia="Times New Roman"/>
        </w:rPr>
        <w:t>tottering Merrill Lynch</w:t>
      </w:r>
      <w:r w:rsidR="009F1B47">
        <w:rPr>
          <w:rFonts w:eastAsia="Times New Roman"/>
        </w:rPr>
        <w:t xml:space="preserve">, and the Federal Reserve bailed out AIG, </w:t>
      </w:r>
      <w:r w:rsidR="00331B18">
        <w:rPr>
          <w:rFonts w:eastAsia="Times New Roman"/>
        </w:rPr>
        <w:t>the world’s largest insurer.</w:t>
      </w:r>
      <w:r w:rsidR="00331B18">
        <w:rPr>
          <w:rStyle w:val="FootnoteReference"/>
          <w:rFonts w:eastAsia="Times New Roman"/>
        </w:rPr>
        <w:footnoteReference w:id="4"/>
      </w:r>
      <w:r w:rsidR="00331B18">
        <w:rPr>
          <w:rFonts w:eastAsia="Times New Roman"/>
        </w:rPr>
        <w:t xml:space="preserve">  </w:t>
      </w:r>
      <w:r w:rsidR="009F1B47">
        <w:rPr>
          <w:rFonts w:eastAsia="Times New Roman"/>
        </w:rPr>
        <w:t xml:space="preserve">The two </w:t>
      </w:r>
      <w:r w:rsidR="00276E70">
        <w:rPr>
          <w:rFonts w:eastAsia="Times New Roman"/>
        </w:rPr>
        <w:t xml:space="preserve">remaining </w:t>
      </w:r>
      <w:r w:rsidR="009F1B47">
        <w:rPr>
          <w:rFonts w:eastAsia="Times New Roman"/>
        </w:rPr>
        <w:t xml:space="preserve">independent investment banks, </w:t>
      </w:r>
      <w:r w:rsidR="009F1B47" w:rsidRPr="00C741BF">
        <w:t>Goldman Sachs</w:t>
      </w:r>
      <w:r w:rsidR="009F1B47">
        <w:t xml:space="preserve"> and </w:t>
      </w:r>
      <w:r w:rsidR="009F1B47" w:rsidRPr="00C741BF">
        <w:t>Morgan Stanley</w:t>
      </w:r>
      <w:r w:rsidR="009F1B47">
        <w:t xml:space="preserve">, made themselves into bank holding companies to ensure </w:t>
      </w:r>
      <w:r w:rsidR="009F1B47">
        <w:lastRenderedPageBreak/>
        <w:t xml:space="preserve">access to Fed funds, thus ending the era of </w:t>
      </w:r>
      <w:r w:rsidR="00331B18">
        <w:rPr>
          <w:rFonts w:eastAsia="Times New Roman"/>
        </w:rPr>
        <w:t>independent investment banking</w:t>
      </w:r>
      <w:r w:rsidR="00615BEA">
        <w:rPr>
          <w:rFonts w:eastAsia="Times New Roman"/>
        </w:rPr>
        <w:t xml:space="preserve"> on Wall Street</w:t>
      </w:r>
      <w:r w:rsidR="009F1B47">
        <w:rPr>
          <w:rFonts w:eastAsia="Times New Roman"/>
        </w:rPr>
        <w:t>.</w:t>
      </w:r>
      <w:r w:rsidR="00331B18">
        <w:rPr>
          <w:rStyle w:val="FootnoteReference"/>
          <w:rFonts w:eastAsia="Times New Roman"/>
        </w:rPr>
        <w:footnoteReference w:id="5"/>
      </w:r>
      <w:r w:rsidR="00331B18">
        <w:rPr>
          <w:rFonts w:eastAsia="Times New Roman"/>
        </w:rPr>
        <w:t xml:space="preserve"> </w:t>
      </w:r>
      <w:r w:rsidR="00782BF1">
        <w:rPr>
          <w:rFonts w:eastAsia="Times New Roman"/>
        </w:rPr>
        <w:t xml:space="preserve"> W</w:t>
      </w:r>
      <w:r w:rsidR="00782BF1" w:rsidRPr="002727D7">
        <w:rPr>
          <w:rFonts w:eastAsia="Times New Roman"/>
        </w:rPr>
        <w:t xml:space="preserve">hat began as a financial crisis spread to the overall economy resulting in the most significant economic downturn since the Great </w:t>
      </w:r>
      <w:proofErr w:type="gramStart"/>
      <w:r w:rsidR="00782BF1" w:rsidRPr="002727D7">
        <w:rPr>
          <w:rFonts w:eastAsia="Times New Roman"/>
        </w:rPr>
        <w:t>Depression.</w:t>
      </w:r>
      <w:proofErr w:type="gramEnd"/>
      <w:r w:rsidR="00782BF1" w:rsidRPr="002727D7">
        <w:rPr>
          <w:rStyle w:val="FootnoteReference"/>
          <w:rFonts w:eastAsia="Times New Roman"/>
        </w:rPr>
        <w:footnoteReference w:id="6"/>
      </w:r>
    </w:p>
    <w:p w:rsidR="00331B18" w:rsidRPr="002727D7" w:rsidRDefault="00331B18" w:rsidP="00331B18">
      <w:pPr>
        <w:overflowPunct w:val="0"/>
        <w:spacing w:line="360" w:lineRule="auto"/>
        <w:ind w:firstLine="720"/>
        <w:textAlignment w:val="baseline"/>
        <w:rPr>
          <w:rFonts w:eastAsia="Times New Roman"/>
        </w:rPr>
      </w:pPr>
      <w:r>
        <w:rPr>
          <w:rFonts w:eastAsia="Times New Roman"/>
        </w:rPr>
        <w:t>To moderate the impact on the overall economy, the Federal government intervened in unprecedented fashion</w:t>
      </w:r>
      <w:r w:rsidR="00615BEA">
        <w:rPr>
          <w:rFonts w:eastAsia="Times New Roman"/>
        </w:rPr>
        <w:t xml:space="preserve"> with a Congressionally-approved </w:t>
      </w:r>
      <w:r>
        <w:rPr>
          <w:rFonts w:eastAsia="Times New Roman"/>
        </w:rPr>
        <w:t>$700 billion bailout package for the purchase of troubled financial assets</w:t>
      </w:r>
      <w:r w:rsidR="000B18F2">
        <w:rPr>
          <w:rFonts w:eastAsia="Times New Roman"/>
        </w:rPr>
        <w:t xml:space="preserve"> – the so-called TARP</w:t>
      </w:r>
      <w:r w:rsidR="00AA17B6">
        <w:rPr>
          <w:rFonts w:eastAsia="Times New Roman"/>
        </w:rPr>
        <w:t xml:space="preserve"> fund</w:t>
      </w:r>
      <w:r>
        <w:rPr>
          <w:rFonts w:eastAsia="Times New Roman"/>
        </w:rPr>
        <w:t>.</w:t>
      </w:r>
      <w:r>
        <w:rPr>
          <w:rStyle w:val="FootnoteReference"/>
          <w:rFonts w:eastAsia="Times New Roman"/>
        </w:rPr>
        <w:footnoteReference w:id="7"/>
      </w:r>
      <w:r>
        <w:rPr>
          <w:rFonts w:eastAsia="Times New Roman"/>
        </w:rPr>
        <w:t xml:space="preserve">  </w:t>
      </w:r>
      <w:r w:rsidR="00FE37B8">
        <w:rPr>
          <w:rFonts w:eastAsia="Times New Roman"/>
        </w:rPr>
        <w:t>A year later, Congress passed the Recovery Act</w:t>
      </w:r>
      <w:r w:rsidR="00AE60D9">
        <w:rPr>
          <w:rFonts w:eastAsia="Times New Roman"/>
        </w:rPr>
        <w:t xml:space="preserve"> providing almost $800 billion of </w:t>
      </w:r>
      <w:r w:rsidR="00AE60D9">
        <w:rPr>
          <w:rFonts w:eastAsia="Times New Roman"/>
        </w:rPr>
        <w:lastRenderedPageBreak/>
        <w:t>economic stimulus.</w:t>
      </w:r>
      <w:r w:rsidR="00AE60D9">
        <w:rPr>
          <w:rStyle w:val="FootnoteReference"/>
          <w:rFonts w:eastAsia="Times New Roman"/>
        </w:rPr>
        <w:footnoteReference w:id="8"/>
      </w:r>
      <w:r w:rsidR="00AE60D9">
        <w:rPr>
          <w:rFonts w:eastAsia="Times New Roman"/>
        </w:rPr>
        <w:t xml:space="preserve"> </w:t>
      </w:r>
      <w:r w:rsidR="00703F0C">
        <w:rPr>
          <w:rFonts w:eastAsia="Times New Roman"/>
        </w:rPr>
        <w:t xml:space="preserve"> </w:t>
      </w:r>
      <w:r w:rsidR="002727D7">
        <w:rPr>
          <w:rFonts w:eastAsia="Times New Roman"/>
        </w:rPr>
        <w:t xml:space="preserve">In addition to the economic stimulus, the Federal government also implemented wide-spread regulatory changes in what President Obama called a </w:t>
      </w:r>
      <w:r w:rsidR="002727D7" w:rsidRPr="002727D7">
        <w:rPr>
          <w:rFonts w:eastAsia="Times New Roman"/>
          <w:szCs w:val="24"/>
        </w:rPr>
        <w:t>“</w:t>
      </w:r>
      <w:r w:rsidR="002727D7" w:rsidRPr="002727D7">
        <w:rPr>
          <w:rStyle w:val="apple-style-span"/>
          <w:color w:val="000000"/>
          <w:szCs w:val="24"/>
        </w:rPr>
        <w:t>sweeping overhaul of the United States financial regulatory system, a transformation on a scale not seen since the reforms that followed the Great Depression.”</w:t>
      </w:r>
      <w:r w:rsidR="002727D7">
        <w:rPr>
          <w:rStyle w:val="FootnoteReference"/>
          <w:szCs w:val="24"/>
        </w:rPr>
        <w:footnoteReference w:id="9"/>
      </w:r>
      <w:r w:rsidR="002727D7" w:rsidRPr="002727D7">
        <w:rPr>
          <w:rStyle w:val="apple-style-span"/>
          <w:color w:val="000000"/>
          <w:szCs w:val="24"/>
        </w:rPr>
        <w:t xml:space="preserve">  </w:t>
      </w:r>
      <w:r w:rsidR="002727D7">
        <w:rPr>
          <w:rStyle w:val="apple-style-span"/>
          <w:color w:val="000000"/>
          <w:szCs w:val="24"/>
        </w:rPr>
        <w:t>The bulk of the</w:t>
      </w:r>
      <w:r w:rsidR="008C696C">
        <w:rPr>
          <w:rStyle w:val="apple-style-span"/>
          <w:color w:val="000000"/>
          <w:szCs w:val="24"/>
        </w:rPr>
        <w:t xml:space="preserve"> regulatory overhaul came </w:t>
      </w:r>
      <w:r w:rsidR="002727D7">
        <w:rPr>
          <w:rStyle w:val="apple-style-span"/>
          <w:color w:val="000000"/>
          <w:szCs w:val="24"/>
        </w:rPr>
        <w:t>in Dodd-Frank</w:t>
      </w:r>
      <w:r w:rsidR="0072750F">
        <w:rPr>
          <w:rStyle w:val="apple-style-span"/>
          <w:color w:val="000000"/>
          <w:szCs w:val="24"/>
        </w:rPr>
        <w:t>, which was adopted in July of this year</w:t>
      </w:r>
      <w:r w:rsidR="002727D7">
        <w:rPr>
          <w:rStyle w:val="apple-style-span"/>
          <w:color w:val="000000"/>
          <w:szCs w:val="24"/>
        </w:rPr>
        <w:t xml:space="preserve">. </w:t>
      </w:r>
    </w:p>
    <w:p w:rsidR="00836869" w:rsidRPr="00AB5193" w:rsidRDefault="002413EA" w:rsidP="00A6041D">
      <w:pPr>
        <w:pStyle w:val="Heading3"/>
        <w:rPr>
          <w:rFonts w:eastAsia="Times New Roman"/>
        </w:rPr>
      </w:pPr>
      <w:r>
        <w:rPr>
          <w:rFonts w:eastAsia="Times New Roman"/>
        </w:rPr>
        <w:t xml:space="preserve">Dodd-Frank </w:t>
      </w:r>
    </w:p>
    <w:p w:rsidR="000D40D6" w:rsidRDefault="00E9599E" w:rsidP="00331B18">
      <w:pPr>
        <w:overflowPunct w:val="0"/>
        <w:spacing w:line="360" w:lineRule="auto"/>
        <w:ind w:firstLine="720"/>
        <w:textAlignment w:val="baseline"/>
        <w:rPr>
          <w:rStyle w:val="apple-style-span"/>
          <w:bCs/>
          <w:color w:val="000000"/>
          <w:szCs w:val="24"/>
        </w:rPr>
      </w:pPr>
      <w:r w:rsidRPr="000D40D6">
        <w:rPr>
          <w:rStyle w:val="apple-style-span"/>
          <w:color w:val="000000"/>
          <w:szCs w:val="24"/>
        </w:rPr>
        <w:t>T</w:t>
      </w:r>
      <w:r w:rsidR="00AB0AA5" w:rsidRPr="000D40D6">
        <w:rPr>
          <w:rStyle w:val="apple-style-span"/>
          <w:color w:val="000000"/>
          <w:szCs w:val="24"/>
        </w:rPr>
        <w:t>he</w:t>
      </w:r>
      <w:r w:rsidR="000D40D6">
        <w:rPr>
          <w:rStyle w:val="apple-style-span"/>
          <w:color w:val="000000"/>
          <w:szCs w:val="24"/>
        </w:rPr>
        <w:t xml:space="preserve"> </w:t>
      </w:r>
      <w:r w:rsidR="00AB0AA5" w:rsidRPr="000D40D6">
        <w:rPr>
          <w:rStyle w:val="apple-style-span"/>
          <w:bCs/>
          <w:color w:val="000000"/>
          <w:szCs w:val="24"/>
        </w:rPr>
        <w:t>Dodd</w:t>
      </w:r>
      <w:r w:rsidR="000D40D6">
        <w:rPr>
          <w:rStyle w:val="apple-style-span"/>
          <w:bCs/>
          <w:color w:val="000000"/>
          <w:szCs w:val="24"/>
        </w:rPr>
        <w:t>-</w:t>
      </w:r>
      <w:r w:rsidR="00AB0AA5" w:rsidRPr="000D40D6">
        <w:rPr>
          <w:rStyle w:val="apple-style-span"/>
          <w:bCs/>
          <w:color w:val="000000"/>
          <w:szCs w:val="24"/>
        </w:rPr>
        <w:t>Frank Wall Street Reform and Consumer Protection Act</w:t>
      </w:r>
      <w:r w:rsidR="000D40D6">
        <w:rPr>
          <w:rStyle w:val="apple-style-span"/>
          <w:bCs/>
          <w:color w:val="000000"/>
          <w:szCs w:val="24"/>
        </w:rPr>
        <w:t xml:space="preserve"> </w:t>
      </w:r>
      <w:r w:rsidR="001B4B54">
        <w:rPr>
          <w:rStyle w:val="apple-style-span"/>
          <w:bCs/>
          <w:color w:val="000000"/>
          <w:szCs w:val="24"/>
        </w:rPr>
        <w:t>(“</w:t>
      </w:r>
      <w:r w:rsidR="001B4B54" w:rsidRPr="001B4B54">
        <w:rPr>
          <w:rStyle w:val="apple-style-span"/>
          <w:bCs/>
          <w:i/>
          <w:color w:val="000000"/>
          <w:szCs w:val="24"/>
        </w:rPr>
        <w:t>Dodd-Frank</w:t>
      </w:r>
      <w:r w:rsidR="001B4B54">
        <w:rPr>
          <w:rStyle w:val="apple-style-span"/>
          <w:bCs/>
          <w:color w:val="000000"/>
          <w:szCs w:val="24"/>
        </w:rPr>
        <w:t xml:space="preserve">”) </w:t>
      </w:r>
      <w:r w:rsidR="000D40D6">
        <w:rPr>
          <w:rStyle w:val="apple-style-span"/>
          <w:bCs/>
          <w:color w:val="000000"/>
          <w:szCs w:val="24"/>
        </w:rPr>
        <w:t>is a compilation of several House and Senate bills dealing with financial regulatory reform.  In 2,300 plus pages, it addresses agency consolidation, the liquidation of “to</w:t>
      </w:r>
      <w:r w:rsidR="00160815">
        <w:rPr>
          <w:rStyle w:val="apple-style-span"/>
          <w:bCs/>
          <w:color w:val="000000"/>
          <w:szCs w:val="24"/>
        </w:rPr>
        <w:t>o</w:t>
      </w:r>
      <w:r w:rsidR="000D40D6">
        <w:rPr>
          <w:rStyle w:val="apple-style-span"/>
          <w:bCs/>
          <w:color w:val="000000"/>
          <w:szCs w:val="24"/>
        </w:rPr>
        <w:t xml:space="preserve"> big to fail” financial institutions, </w:t>
      </w:r>
      <w:r w:rsidR="002413EA">
        <w:rPr>
          <w:rStyle w:val="apple-style-span"/>
          <w:bCs/>
          <w:color w:val="000000"/>
          <w:szCs w:val="24"/>
        </w:rPr>
        <w:t xml:space="preserve">residential mortgage and consumer lending practices, use of derivative securities, proprietary trading by banks, executive compensation, and consumer financial protections. </w:t>
      </w:r>
      <w:r w:rsidR="00267513">
        <w:rPr>
          <w:rStyle w:val="apple-style-span"/>
          <w:bCs/>
          <w:color w:val="000000"/>
          <w:szCs w:val="24"/>
        </w:rPr>
        <w:t xml:space="preserve"> </w:t>
      </w:r>
    </w:p>
    <w:p w:rsidR="00BC19FB" w:rsidRPr="00611D48" w:rsidRDefault="00BC19FB" w:rsidP="00A6041D">
      <w:pPr>
        <w:pStyle w:val="Heading4"/>
        <w:rPr>
          <w:rFonts w:eastAsia="Times New Roman"/>
        </w:rPr>
      </w:pPr>
      <w:r w:rsidRPr="00611D48">
        <w:rPr>
          <w:rFonts w:eastAsia="Times New Roman"/>
        </w:rPr>
        <w:t xml:space="preserve">Changing the Roles of Federal Regulators </w:t>
      </w:r>
    </w:p>
    <w:p w:rsidR="00BC19FB" w:rsidRPr="00611D48" w:rsidRDefault="006D78B9" w:rsidP="00331B18">
      <w:pPr>
        <w:overflowPunct w:val="0"/>
        <w:spacing w:line="360" w:lineRule="auto"/>
        <w:ind w:firstLine="720"/>
        <w:textAlignment w:val="baseline"/>
        <w:rPr>
          <w:rFonts w:eastAsia="Times New Roman"/>
          <w:szCs w:val="24"/>
        </w:rPr>
      </w:pPr>
      <w:r>
        <w:rPr>
          <w:rFonts w:eastAsia="Times New Roman"/>
          <w:szCs w:val="24"/>
        </w:rPr>
        <w:t xml:space="preserve">Dodd-Frank reflects </w:t>
      </w:r>
      <w:r w:rsidR="00BC19FB" w:rsidRPr="00611D48">
        <w:rPr>
          <w:rFonts w:eastAsia="Times New Roman"/>
          <w:szCs w:val="24"/>
        </w:rPr>
        <w:t xml:space="preserve">a general perception that </w:t>
      </w:r>
      <w:r w:rsidR="00F925B2" w:rsidRPr="00611D48">
        <w:rPr>
          <w:rFonts w:eastAsia="Times New Roman"/>
          <w:szCs w:val="24"/>
        </w:rPr>
        <w:t xml:space="preserve">inadequate financial regulation contributed to the economic crisis and that </w:t>
      </w:r>
      <w:r w:rsidR="00BC19FB" w:rsidRPr="00611D48">
        <w:rPr>
          <w:rFonts w:eastAsia="Times New Roman"/>
          <w:szCs w:val="24"/>
        </w:rPr>
        <w:t xml:space="preserve">the government agencies charged with regulating the financial industry </w:t>
      </w:r>
      <w:r w:rsidR="00F925B2" w:rsidRPr="00611D48">
        <w:rPr>
          <w:rFonts w:eastAsia="Times New Roman"/>
          <w:szCs w:val="24"/>
        </w:rPr>
        <w:t>should be strengthened</w:t>
      </w:r>
      <w:r w:rsidR="00BC19FB" w:rsidRPr="00611D48">
        <w:rPr>
          <w:rFonts w:eastAsia="Times New Roman"/>
          <w:szCs w:val="24"/>
        </w:rPr>
        <w:t xml:space="preserve">.  </w:t>
      </w:r>
    </w:p>
    <w:p w:rsidR="005F098F" w:rsidRPr="00611D48" w:rsidRDefault="00E7103A" w:rsidP="00331B18">
      <w:pPr>
        <w:overflowPunct w:val="0"/>
        <w:spacing w:line="360" w:lineRule="auto"/>
        <w:ind w:firstLine="720"/>
        <w:textAlignment w:val="baseline"/>
        <w:rPr>
          <w:rFonts w:eastAsia="Times New Roman"/>
          <w:szCs w:val="24"/>
        </w:rPr>
      </w:pPr>
      <w:proofErr w:type="gramStart"/>
      <w:r w:rsidRPr="00611D48">
        <w:rPr>
          <w:rFonts w:eastAsia="Times New Roman"/>
          <w:i/>
          <w:szCs w:val="24"/>
        </w:rPr>
        <w:t xml:space="preserve">Agency </w:t>
      </w:r>
      <w:r w:rsidR="005F098F" w:rsidRPr="00611D48">
        <w:rPr>
          <w:rFonts w:eastAsia="Times New Roman"/>
          <w:i/>
          <w:szCs w:val="24"/>
        </w:rPr>
        <w:t>Consolidation</w:t>
      </w:r>
      <w:r w:rsidR="005F098F" w:rsidRPr="00611D48">
        <w:rPr>
          <w:rFonts w:eastAsia="Times New Roman"/>
          <w:szCs w:val="24"/>
        </w:rPr>
        <w:t>.</w:t>
      </w:r>
      <w:proofErr w:type="gramEnd"/>
      <w:r w:rsidR="00D50EBE">
        <w:rPr>
          <w:rStyle w:val="FootnoteReference"/>
          <w:rFonts w:eastAsia="Times New Roman"/>
          <w:szCs w:val="24"/>
        </w:rPr>
        <w:footnoteReference w:id="10"/>
      </w:r>
      <w:r w:rsidR="005F098F" w:rsidRPr="00611D48">
        <w:rPr>
          <w:rFonts w:eastAsia="Times New Roman"/>
          <w:szCs w:val="24"/>
        </w:rPr>
        <w:t xml:space="preserve">  </w:t>
      </w:r>
      <w:r w:rsidR="00C741B7" w:rsidRPr="00611D48">
        <w:rPr>
          <w:rFonts w:eastAsia="Times New Roman"/>
          <w:szCs w:val="24"/>
        </w:rPr>
        <w:t xml:space="preserve">Banking and financial services industry is regulated by multiple Federal and state agencies.  For example, federal and state banks and thrifts are regulated variously by the Federal Reserve, the Federal Deposit Insurance Corporation, the Office of the Comptroller of the Currency, and the Office of Thrift Supervision. </w:t>
      </w:r>
      <w:r w:rsidR="00FB2681">
        <w:rPr>
          <w:rFonts w:eastAsia="Times New Roman"/>
          <w:szCs w:val="24"/>
        </w:rPr>
        <w:t xml:space="preserve"> The Securities and Exchange Commission regulates the sale and </w:t>
      </w:r>
      <w:r w:rsidR="006D78B9">
        <w:rPr>
          <w:rFonts w:eastAsia="Times New Roman"/>
          <w:szCs w:val="24"/>
        </w:rPr>
        <w:t xml:space="preserve">trading </w:t>
      </w:r>
      <w:r w:rsidR="00FB2681">
        <w:rPr>
          <w:rFonts w:eastAsia="Times New Roman"/>
          <w:szCs w:val="24"/>
        </w:rPr>
        <w:t xml:space="preserve">of securities, public companies, underwriters, broker-dealers, and investment advisors.  The Commodity Futures Trading Commissions regulates commodity futures and options markets.  </w:t>
      </w:r>
      <w:r w:rsidR="00BF1DF2">
        <w:rPr>
          <w:rFonts w:eastAsia="Times New Roman"/>
          <w:szCs w:val="24"/>
        </w:rPr>
        <w:t>Dodd-</w:t>
      </w:r>
      <w:r w:rsidR="00BF1DF2">
        <w:rPr>
          <w:rFonts w:eastAsia="Times New Roman"/>
          <w:szCs w:val="24"/>
        </w:rPr>
        <w:lastRenderedPageBreak/>
        <w:t xml:space="preserve">Frank did not adopt the massive consolidation proposed in </w:t>
      </w:r>
      <w:r w:rsidR="00C741B7">
        <w:rPr>
          <w:rFonts w:eastAsia="Times New Roman"/>
          <w:szCs w:val="24"/>
        </w:rPr>
        <w:t xml:space="preserve">some </w:t>
      </w:r>
      <w:r w:rsidR="00BF1DF2">
        <w:rPr>
          <w:rFonts w:eastAsia="Times New Roman"/>
          <w:szCs w:val="24"/>
        </w:rPr>
        <w:t>earlier bills</w:t>
      </w:r>
      <w:r w:rsidR="00C741B7">
        <w:rPr>
          <w:rFonts w:eastAsia="Times New Roman"/>
          <w:szCs w:val="24"/>
        </w:rPr>
        <w:t xml:space="preserve">.  It eliminated only the </w:t>
      </w:r>
      <w:r w:rsidR="00C741B7" w:rsidRPr="00611D48">
        <w:rPr>
          <w:rFonts w:eastAsia="Times New Roman"/>
          <w:szCs w:val="24"/>
        </w:rPr>
        <w:t>Office of Thrift Supervision</w:t>
      </w:r>
      <w:r w:rsidR="00C741B7">
        <w:rPr>
          <w:rFonts w:eastAsia="Times New Roman"/>
          <w:szCs w:val="24"/>
        </w:rPr>
        <w:t xml:space="preserve">.  The OTS’s authority for holding companies was transferred to the Federal Reserve, for state savings associations to the FDIC, and for other thrifts to </w:t>
      </w:r>
      <w:r w:rsidR="00C741B7" w:rsidRPr="00611D48">
        <w:rPr>
          <w:rFonts w:eastAsia="Times New Roman"/>
          <w:szCs w:val="24"/>
        </w:rPr>
        <w:t>the Office of the Comptroller</w:t>
      </w:r>
      <w:r w:rsidR="00C741B7">
        <w:rPr>
          <w:rFonts w:eastAsia="Times New Roman"/>
          <w:szCs w:val="24"/>
        </w:rPr>
        <w:t xml:space="preserve">. </w:t>
      </w:r>
      <w:r w:rsidR="00BF1DF2">
        <w:rPr>
          <w:rFonts w:eastAsia="Times New Roman"/>
          <w:szCs w:val="24"/>
        </w:rPr>
        <w:t xml:space="preserve"> </w:t>
      </w:r>
      <w:r w:rsidR="00884D57" w:rsidRPr="00611D48">
        <w:rPr>
          <w:rFonts w:eastAsia="Times New Roman"/>
          <w:szCs w:val="24"/>
        </w:rPr>
        <w:t xml:space="preserve">The consolidation </w:t>
      </w:r>
      <w:r w:rsidR="0027451C">
        <w:rPr>
          <w:rFonts w:eastAsia="Times New Roman"/>
          <w:szCs w:val="24"/>
        </w:rPr>
        <w:t xml:space="preserve">does </w:t>
      </w:r>
      <w:r w:rsidR="00884D57" w:rsidRPr="00611D48">
        <w:rPr>
          <w:rFonts w:eastAsia="Times New Roman"/>
          <w:szCs w:val="24"/>
        </w:rPr>
        <w:t xml:space="preserve">not change the dual Federal-state regulatory structure </w:t>
      </w:r>
      <w:r w:rsidR="003A6CC8" w:rsidRPr="00611D48">
        <w:rPr>
          <w:rFonts w:eastAsia="Times New Roman"/>
          <w:szCs w:val="24"/>
        </w:rPr>
        <w:t>for state banks and thrifts</w:t>
      </w:r>
      <w:r w:rsidR="00884D57" w:rsidRPr="00611D48">
        <w:rPr>
          <w:rFonts w:eastAsia="Times New Roman"/>
          <w:szCs w:val="24"/>
        </w:rPr>
        <w:t xml:space="preserve">, although such institutions would report to the new Federal agency. </w:t>
      </w:r>
    </w:p>
    <w:p w:rsidR="005F098F" w:rsidRPr="00611D48" w:rsidRDefault="005223A5" w:rsidP="00331B18">
      <w:pPr>
        <w:overflowPunct w:val="0"/>
        <w:spacing w:line="360" w:lineRule="auto"/>
        <w:ind w:firstLine="720"/>
        <w:textAlignment w:val="baseline"/>
        <w:rPr>
          <w:szCs w:val="24"/>
        </w:rPr>
      </w:pPr>
      <w:proofErr w:type="gramStart"/>
      <w:r>
        <w:rPr>
          <w:rFonts w:eastAsia="Times New Roman"/>
          <w:i/>
          <w:szCs w:val="24"/>
        </w:rPr>
        <w:t>Bureau of Consumer Financial Protection</w:t>
      </w:r>
      <w:r w:rsidR="005F098F" w:rsidRPr="00611D48">
        <w:rPr>
          <w:rFonts w:eastAsia="Times New Roman"/>
          <w:szCs w:val="24"/>
        </w:rPr>
        <w:t>.</w:t>
      </w:r>
      <w:proofErr w:type="gramEnd"/>
      <w:r w:rsidR="00A41BB8">
        <w:rPr>
          <w:rStyle w:val="FootnoteReference"/>
          <w:rFonts w:eastAsia="Times New Roman"/>
          <w:szCs w:val="24"/>
        </w:rPr>
        <w:footnoteReference w:id="11"/>
      </w:r>
      <w:r w:rsidR="005F098F" w:rsidRPr="00611D48">
        <w:rPr>
          <w:rFonts w:eastAsia="Times New Roman"/>
          <w:szCs w:val="24"/>
        </w:rPr>
        <w:t xml:space="preserve">  </w:t>
      </w:r>
      <w:r w:rsidR="00D80686">
        <w:rPr>
          <w:rFonts w:eastAsia="Times New Roman"/>
          <w:szCs w:val="24"/>
        </w:rPr>
        <w:t xml:space="preserve">The development that might have the broadest impact is the creation of </w:t>
      </w:r>
      <w:r w:rsidR="00B944BD">
        <w:rPr>
          <w:rFonts w:eastAsia="Times New Roman"/>
          <w:szCs w:val="24"/>
        </w:rPr>
        <w:t xml:space="preserve">the Bureau of </w:t>
      </w:r>
      <w:r w:rsidR="00E7103A" w:rsidRPr="00611D48">
        <w:rPr>
          <w:rStyle w:val="Strong"/>
          <w:b w:val="0"/>
          <w:bCs w:val="0"/>
          <w:szCs w:val="24"/>
        </w:rPr>
        <w:t>Consumer Financial Protection</w:t>
      </w:r>
      <w:r w:rsidR="00B944BD">
        <w:rPr>
          <w:rStyle w:val="Strong"/>
          <w:b w:val="0"/>
          <w:bCs w:val="0"/>
          <w:szCs w:val="24"/>
        </w:rPr>
        <w:t>, which is an independent agency within the Federal Reserve</w:t>
      </w:r>
      <w:r w:rsidR="001C5721" w:rsidRPr="00611D48">
        <w:rPr>
          <w:rStyle w:val="Strong"/>
          <w:b w:val="0"/>
          <w:bCs w:val="0"/>
          <w:szCs w:val="24"/>
        </w:rPr>
        <w:t xml:space="preserve">.  </w:t>
      </w:r>
      <w:r w:rsidR="00884D57" w:rsidRPr="00611D48">
        <w:rPr>
          <w:rStyle w:val="Strong"/>
          <w:b w:val="0"/>
          <w:bCs w:val="0"/>
          <w:szCs w:val="24"/>
        </w:rPr>
        <w:t xml:space="preserve">The </w:t>
      </w:r>
      <w:r w:rsidR="0062068B" w:rsidRPr="00611D48">
        <w:rPr>
          <w:rStyle w:val="Strong"/>
          <w:b w:val="0"/>
          <w:bCs w:val="0"/>
          <w:szCs w:val="24"/>
        </w:rPr>
        <w:t xml:space="preserve">new agency would assume the </w:t>
      </w:r>
      <w:r w:rsidR="00D80686">
        <w:rPr>
          <w:rStyle w:val="Strong"/>
          <w:b w:val="0"/>
          <w:bCs w:val="0"/>
          <w:szCs w:val="24"/>
        </w:rPr>
        <w:t xml:space="preserve">existing </w:t>
      </w:r>
      <w:r w:rsidR="0062068B" w:rsidRPr="00611D48">
        <w:rPr>
          <w:szCs w:val="24"/>
        </w:rPr>
        <w:t>consumer protection responsibilities handled by the Office of the Comptroller, the Office of Thrift Supervision, the Federal Deposit Insurance Corporation, the Federal Reserve, the National Credit Union Administration, and the Federal Trade Commission</w:t>
      </w:r>
      <w:r w:rsidR="00051D65">
        <w:rPr>
          <w:szCs w:val="24"/>
        </w:rPr>
        <w:t>,</w:t>
      </w:r>
      <w:r w:rsidR="00D80686">
        <w:rPr>
          <w:szCs w:val="24"/>
        </w:rPr>
        <w:t xml:space="preserve"> and would have additional responsibilities as well</w:t>
      </w:r>
      <w:r w:rsidR="0062068B" w:rsidRPr="00611D48">
        <w:rPr>
          <w:szCs w:val="24"/>
        </w:rPr>
        <w:t xml:space="preserve">.  </w:t>
      </w:r>
      <w:r w:rsidR="00B944BD">
        <w:rPr>
          <w:szCs w:val="24"/>
        </w:rPr>
        <w:t xml:space="preserve">When the transition is complete, the Bureau will have </w:t>
      </w:r>
      <w:r w:rsidR="00D80686">
        <w:rPr>
          <w:szCs w:val="24"/>
        </w:rPr>
        <w:t xml:space="preserve">the power to regulate how loans and other financial products are offered, the types of products that can be offered and who can qualify, the disclosures that must be made, and the type and amount of fees that can be charged.  The Bureau’s scope is broad and will cover </w:t>
      </w:r>
      <w:r w:rsidR="0062068B" w:rsidRPr="00611D48">
        <w:rPr>
          <w:szCs w:val="24"/>
        </w:rPr>
        <w:t>mortgage brokers</w:t>
      </w:r>
      <w:r w:rsidR="00D80686">
        <w:rPr>
          <w:szCs w:val="24"/>
        </w:rPr>
        <w:t>, student loan companies</w:t>
      </w:r>
      <w:r w:rsidR="0062068B" w:rsidRPr="00611D48">
        <w:rPr>
          <w:szCs w:val="24"/>
        </w:rPr>
        <w:t xml:space="preserve"> and payday lenders, who are lightly regulated under the present system.  </w:t>
      </w:r>
      <w:r w:rsidR="00D80686">
        <w:rPr>
          <w:szCs w:val="24"/>
        </w:rPr>
        <w:t xml:space="preserve">A group that </w:t>
      </w:r>
      <w:r w:rsidR="00FB2681">
        <w:rPr>
          <w:szCs w:val="24"/>
        </w:rPr>
        <w:t>is</w:t>
      </w:r>
      <w:r w:rsidR="00D80686">
        <w:rPr>
          <w:szCs w:val="24"/>
        </w:rPr>
        <w:t xml:space="preserve"> not </w:t>
      </w:r>
      <w:proofErr w:type="gramStart"/>
      <w:r w:rsidR="00D80686">
        <w:rPr>
          <w:szCs w:val="24"/>
        </w:rPr>
        <w:t>be</w:t>
      </w:r>
      <w:proofErr w:type="gramEnd"/>
      <w:r w:rsidR="00D80686">
        <w:rPr>
          <w:szCs w:val="24"/>
        </w:rPr>
        <w:t xml:space="preserve"> covered are automobile dealers, although auto lenders can be regulated.  </w:t>
      </w:r>
    </w:p>
    <w:p w:rsidR="005223A5" w:rsidRDefault="005223A5" w:rsidP="005223A5">
      <w:pPr>
        <w:overflowPunct w:val="0"/>
        <w:spacing w:line="360" w:lineRule="auto"/>
        <w:ind w:firstLine="720"/>
        <w:textAlignment w:val="baseline"/>
        <w:rPr>
          <w:rFonts w:eastAsia="Times New Roman"/>
          <w:szCs w:val="24"/>
        </w:rPr>
      </w:pPr>
      <w:proofErr w:type="gramStart"/>
      <w:r>
        <w:rPr>
          <w:rFonts w:eastAsia="Times New Roman"/>
          <w:i/>
          <w:szCs w:val="24"/>
        </w:rPr>
        <w:t>Federal Insurance Office</w:t>
      </w:r>
      <w:r>
        <w:rPr>
          <w:rFonts w:eastAsia="Times New Roman"/>
          <w:szCs w:val="24"/>
        </w:rPr>
        <w:t>.</w:t>
      </w:r>
      <w:proofErr w:type="gramEnd"/>
      <w:r w:rsidR="00147451">
        <w:rPr>
          <w:rStyle w:val="FootnoteReference"/>
          <w:rFonts w:eastAsia="Times New Roman"/>
          <w:szCs w:val="24"/>
        </w:rPr>
        <w:footnoteReference w:id="12"/>
      </w:r>
      <w:r>
        <w:rPr>
          <w:rFonts w:eastAsia="Times New Roman"/>
          <w:szCs w:val="24"/>
        </w:rPr>
        <w:t xml:space="preserve">  Dodd-Frank creates the Federal Insurance Office with</w:t>
      </w:r>
      <w:r w:rsidR="00051D65">
        <w:rPr>
          <w:rFonts w:eastAsia="Times New Roman"/>
          <w:szCs w:val="24"/>
        </w:rPr>
        <w:t>in</w:t>
      </w:r>
      <w:r>
        <w:rPr>
          <w:rFonts w:eastAsia="Times New Roman"/>
          <w:szCs w:val="24"/>
        </w:rPr>
        <w:t xml:space="preserve"> the Department of Treasury.  The office is charged generally with monitoring the domestic insurance industry, except for health insurance and crop insurance.  It has broad powers to gather data from insurance companies and to assess a company’s risk profile.  The office is also charged with coordinating state regulation with national and international needs. </w:t>
      </w:r>
    </w:p>
    <w:p w:rsidR="003319CF" w:rsidRDefault="003319CF" w:rsidP="005223A5">
      <w:pPr>
        <w:overflowPunct w:val="0"/>
        <w:spacing w:line="360" w:lineRule="auto"/>
        <w:ind w:firstLine="720"/>
        <w:textAlignment w:val="baseline"/>
        <w:rPr>
          <w:rFonts w:eastAsia="Times New Roman"/>
          <w:szCs w:val="24"/>
        </w:rPr>
      </w:pPr>
      <w:proofErr w:type="gramStart"/>
      <w:r w:rsidRPr="003319CF">
        <w:rPr>
          <w:rFonts w:eastAsia="Times New Roman"/>
          <w:i/>
          <w:szCs w:val="24"/>
        </w:rPr>
        <w:t xml:space="preserve">Other Federal </w:t>
      </w:r>
      <w:r w:rsidR="00035471">
        <w:rPr>
          <w:rFonts w:eastAsia="Times New Roman"/>
          <w:i/>
          <w:szCs w:val="24"/>
        </w:rPr>
        <w:t>Agencies</w:t>
      </w:r>
      <w:r>
        <w:rPr>
          <w:rFonts w:eastAsia="Times New Roman"/>
          <w:szCs w:val="24"/>
        </w:rPr>
        <w:t>.</w:t>
      </w:r>
      <w:proofErr w:type="gramEnd"/>
      <w:r w:rsidR="00267513">
        <w:rPr>
          <w:rStyle w:val="FootnoteReference"/>
          <w:rFonts w:eastAsia="Times New Roman"/>
          <w:szCs w:val="24"/>
        </w:rPr>
        <w:footnoteReference w:id="13"/>
      </w:r>
      <w:r>
        <w:rPr>
          <w:rFonts w:eastAsia="Times New Roman"/>
          <w:szCs w:val="24"/>
        </w:rPr>
        <w:t xml:space="preserve">  Dodd-Frank </w:t>
      </w:r>
      <w:r w:rsidR="003755FD">
        <w:rPr>
          <w:rFonts w:eastAsia="Times New Roman"/>
          <w:szCs w:val="24"/>
        </w:rPr>
        <w:t xml:space="preserve">creates two </w:t>
      </w:r>
      <w:r w:rsidR="00324B1F">
        <w:rPr>
          <w:rFonts w:eastAsia="Times New Roman"/>
          <w:szCs w:val="24"/>
        </w:rPr>
        <w:t xml:space="preserve">agencies </w:t>
      </w:r>
      <w:r w:rsidR="003755FD">
        <w:rPr>
          <w:rFonts w:eastAsia="Times New Roman"/>
          <w:szCs w:val="24"/>
        </w:rPr>
        <w:t xml:space="preserve">to monitor systemic financial risks:  the Financial Stability Oversight Council and the Office of Financial </w:t>
      </w:r>
      <w:r w:rsidR="003755FD">
        <w:rPr>
          <w:rFonts w:eastAsia="Times New Roman"/>
          <w:szCs w:val="24"/>
        </w:rPr>
        <w:lastRenderedPageBreak/>
        <w:t xml:space="preserve">Research, both of which are in the Department of Treasury.  The Council is composed generally of the Secretary of the Treasury (the chair) and the heads of various Federal financial regulatory agencies, including the SEC, FDIC and the Comptroller.  It meets at least quarterly to review domestic and international regulatory and market developments and has broad powers to assess and investigate risks to the U.S. financial system.  The Office of Financial Research provides administrative and technical support to the Council and its affiliated agencies.  </w:t>
      </w:r>
    </w:p>
    <w:p w:rsidR="00BF1DF2" w:rsidRDefault="002D45FA" w:rsidP="00331B18">
      <w:pPr>
        <w:overflowPunct w:val="0"/>
        <w:spacing w:line="360" w:lineRule="auto"/>
        <w:ind w:firstLine="720"/>
        <w:textAlignment w:val="baseline"/>
        <w:rPr>
          <w:szCs w:val="24"/>
        </w:rPr>
      </w:pPr>
      <w:proofErr w:type="gramStart"/>
      <w:r w:rsidRPr="00611D48">
        <w:rPr>
          <w:rFonts w:eastAsia="Times New Roman"/>
          <w:i/>
          <w:szCs w:val="24"/>
        </w:rPr>
        <w:t xml:space="preserve">Too Big </w:t>
      </w:r>
      <w:r w:rsidR="004C21D3">
        <w:rPr>
          <w:rFonts w:eastAsia="Times New Roman"/>
          <w:i/>
          <w:szCs w:val="24"/>
        </w:rPr>
        <w:t>t</w:t>
      </w:r>
      <w:r w:rsidRPr="00611D48">
        <w:rPr>
          <w:rFonts w:eastAsia="Times New Roman"/>
          <w:i/>
          <w:szCs w:val="24"/>
        </w:rPr>
        <w:t>o Fail</w:t>
      </w:r>
      <w:r w:rsidRPr="00611D48">
        <w:rPr>
          <w:rFonts w:eastAsia="Times New Roman"/>
          <w:szCs w:val="24"/>
        </w:rPr>
        <w:t>.</w:t>
      </w:r>
      <w:proofErr w:type="gramEnd"/>
      <w:r w:rsidR="00155483">
        <w:rPr>
          <w:rStyle w:val="FootnoteReference"/>
          <w:rFonts w:eastAsia="Times New Roman"/>
          <w:szCs w:val="24"/>
        </w:rPr>
        <w:footnoteReference w:id="14"/>
      </w:r>
      <w:r w:rsidRPr="00611D48">
        <w:rPr>
          <w:rFonts w:eastAsia="Times New Roman"/>
          <w:szCs w:val="24"/>
        </w:rPr>
        <w:t xml:space="preserve">  </w:t>
      </w:r>
      <w:r w:rsidR="001B4B54">
        <w:rPr>
          <w:rFonts w:eastAsia="Times New Roman"/>
          <w:szCs w:val="24"/>
        </w:rPr>
        <w:t xml:space="preserve">Dodd-Frank expands the liquidation procedures for banks, insured depository institutions and securities firms to include insurance companies and other non-bank financial companies.  The FDIC or the Federal Reserve or both will cover financial institutions generally.  The SEC or the Federal Reserve or both will cover broker-dealers.  Insurance companies will be covered by the newly created Federal Insurance Office.  </w:t>
      </w:r>
      <w:r w:rsidR="00BF1DF2">
        <w:rPr>
          <w:rFonts w:eastAsia="Times New Roman"/>
          <w:szCs w:val="24"/>
        </w:rPr>
        <w:t xml:space="preserve">Dodd-Frank creates </w:t>
      </w:r>
      <w:r w:rsidR="00856C4D">
        <w:rPr>
          <w:rFonts w:eastAsia="Times New Roman"/>
          <w:szCs w:val="24"/>
        </w:rPr>
        <w:t>the</w:t>
      </w:r>
      <w:r w:rsidR="00BF1DF2">
        <w:rPr>
          <w:rFonts w:eastAsia="Times New Roman"/>
          <w:szCs w:val="24"/>
        </w:rPr>
        <w:t xml:space="preserve"> Orderly Liquidation Fund, which is an expansion of the FDIC’s Deposit Insurance Fund, to cover any additional costs from liquidation of the companies added by the expanded liquidation procedures.  The fund is </w:t>
      </w:r>
      <w:r w:rsidR="00856C4D">
        <w:rPr>
          <w:rFonts w:eastAsia="Times New Roman"/>
          <w:szCs w:val="24"/>
        </w:rPr>
        <w:t xml:space="preserve">financed </w:t>
      </w:r>
      <w:r w:rsidR="00BF1DF2" w:rsidRPr="00611D48">
        <w:rPr>
          <w:szCs w:val="24"/>
        </w:rPr>
        <w:t xml:space="preserve">by assessments on </w:t>
      </w:r>
      <w:r w:rsidR="00BF1DF2">
        <w:rPr>
          <w:szCs w:val="24"/>
        </w:rPr>
        <w:t xml:space="preserve">the covered </w:t>
      </w:r>
      <w:r w:rsidR="00BF1DF2" w:rsidRPr="00611D48">
        <w:rPr>
          <w:szCs w:val="24"/>
        </w:rPr>
        <w:t xml:space="preserve">financial institutions.  </w:t>
      </w:r>
    </w:p>
    <w:p w:rsidR="007B7831" w:rsidRDefault="007B7831" w:rsidP="00331B18">
      <w:pPr>
        <w:overflowPunct w:val="0"/>
        <w:spacing w:line="360" w:lineRule="auto"/>
        <w:ind w:firstLine="720"/>
        <w:textAlignment w:val="baseline"/>
        <w:rPr>
          <w:rFonts w:eastAsia="Times New Roman"/>
          <w:szCs w:val="24"/>
        </w:rPr>
      </w:pPr>
      <w:proofErr w:type="gramStart"/>
      <w:r w:rsidRPr="007B7831">
        <w:rPr>
          <w:i/>
          <w:szCs w:val="24"/>
        </w:rPr>
        <w:t>Mortgage Reforms</w:t>
      </w:r>
      <w:r>
        <w:rPr>
          <w:szCs w:val="24"/>
        </w:rPr>
        <w:t>.</w:t>
      </w:r>
      <w:proofErr w:type="gramEnd"/>
      <w:r>
        <w:rPr>
          <w:rStyle w:val="FootnoteReference"/>
          <w:szCs w:val="24"/>
        </w:rPr>
        <w:footnoteReference w:id="15"/>
      </w:r>
      <w:r>
        <w:rPr>
          <w:szCs w:val="24"/>
        </w:rPr>
        <w:t xml:space="preserve">  Dodd-Frank adopts a number of changes to the residential mortgage market, which will be administered by the Bureau of Consumer Financial Protection.  The changes will regulate “residential mortgage originators” by requiring a suitability determination for borrowers based on ability to pay and </w:t>
      </w:r>
      <w:r w:rsidR="00266133">
        <w:rPr>
          <w:szCs w:val="24"/>
        </w:rPr>
        <w:t xml:space="preserve">by </w:t>
      </w:r>
      <w:r>
        <w:rPr>
          <w:szCs w:val="24"/>
        </w:rPr>
        <w:t xml:space="preserve">controlling </w:t>
      </w:r>
      <w:r w:rsidR="00364BE8">
        <w:rPr>
          <w:szCs w:val="24"/>
        </w:rPr>
        <w:t xml:space="preserve">origination </w:t>
      </w:r>
      <w:r>
        <w:rPr>
          <w:szCs w:val="24"/>
        </w:rPr>
        <w:t xml:space="preserve">fees.  The act will establish national underwriting standards for mortgages and will eliminate some prepayment penalties and mandatory arbitration provisions.  </w:t>
      </w:r>
      <w:r w:rsidR="00266133">
        <w:rPr>
          <w:szCs w:val="24"/>
        </w:rPr>
        <w:t xml:space="preserve">“High cost” mortgages will be subject to special requirements, including the elimination of balloon payments and a requirement for pre-loan </w:t>
      </w:r>
      <w:r w:rsidR="00577E85">
        <w:rPr>
          <w:szCs w:val="24"/>
        </w:rPr>
        <w:t>counseling</w:t>
      </w:r>
      <w:r w:rsidR="00266133">
        <w:rPr>
          <w:szCs w:val="24"/>
        </w:rPr>
        <w:t>.</w:t>
      </w:r>
      <w:r w:rsidR="003A7B0F">
        <w:rPr>
          <w:szCs w:val="24"/>
        </w:rPr>
        <w:t xml:space="preserve"> </w:t>
      </w:r>
      <w:r w:rsidR="00324B1F">
        <w:rPr>
          <w:szCs w:val="24"/>
        </w:rPr>
        <w:t xml:space="preserve"> </w:t>
      </w:r>
      <w:r w:rsidR="007059CD">
        <w:rPr>
          <w:szCs w:val="24"/>
        </w:rPr>
        <w:t xml:space="preserve">A new Office of Housing Counseling is created under the Department of Housing and Urban Development.  </w:t>
      </w:r>
      <w:r w:rsidR="00EF6032">
        <w:rPr>
          <w:szCs w:val="24"/>
        </w:rPr>
        <w:t xml:space="preserve">New rules will deal with loan servicing, including escrow and settlement procedures, and </w:t>
      </w:r>
      <w:r w:rsidR="00324B1F">
        <w:rPr>
          <w:szCs w:val="24"/>
        </w:rPr>
        <w:t xml:space="preserve">will require prior written </w:t>
      </w:r>
      <w:r w:rsidR="003D66E5">
        <w:rPr>
          <w:szCs w:val="24"/>
        </w:rPr>
        <w:t>appraisals</w:t>
      </w:r>
      <w:r w:rsidR="00324B1F">
        <w:rPr>
          <w:szCs w:val="24"/>
        </w:rPr>
        <w:t xml:space="preserve"> for </w:t>
      </w:r>
      <w:r w:rsidR="00EF6032">
        <w:rPr>
          <w:szCs w:val="24"/>
        </w:rPr>
        <w:t>“</w:t>
      </w:r>
      <w:r w:rsidR="00324B1F">
        <w:rPr>
          <w:szCs w:val="24"/>
        </w:rPr>
        <w:t>higher</w:t>
      </w:r>
      <w:r w:rsidR="00EF6032">
        <w:rPr>
          <w:szCs w:val="24"/>
        </w:rPr>
        <w:t>-</w:t>
      </w:r>
      <w:r w:rsidR="00324B1F">
        <w:rPr>
          <w:szCs w:val="24"/>
        </w:rPr>
        <w:t>risk</w:t>
      </w:r>
      <w:r w:rsidR="00EF6032">
        <w:rPr>
          <w:szCs w:val="24"/>
        </w:rPr>
        <w:t>”</w:t>
      </w:r>
      <w:r w:rsidR="00324B1F">
        <w:rPr>
          <w:szCs w:val="24"/>
        </w:rPr>
        <w:t xml:space="preserve"> mortgages.</w:t>
      </w:r>
    </w:p>
    <w:p w:rsidR="00801034" w:rsidRDefault="00801034" w:rsidP="00801034">
      <w:pPr>
        <w:overflowPunct w:val="0"/>
        <w:spacing w:line="360" w:lineRule="auto"/>
        <w:ind w:firstLine="720"/>
        <w:textAlignment w:val="baseline"/>
        <w:rPr>
          <w:rFonts w:eastAsia="Times New Roman"/>
          <w:szCs w:val="24"/>
        </w:rPr>
      </w:pPr>
      <w:proofErr w:type="gramStart"/>
      <w:r w:rsidRPr="00257DCF">
        <w:rPr>
          <w:rFonts w:eastAsia="Times New Roman"/>
          <w:i/>
          <w:szCs w:val="24"/>
        </w:rPr>
        <w:lastRenderedPageBreak/>
        <w:t>Increased SEC Powers</w:t>
      </w:r>
      <w:r>
        <w:rPr>
          <w:rFonts w:eastAsia="Times New Roman"/>
          <w:szCs w:val="24"/>
        </w:rPr>
        <w:t>.</w:t>
      </w:r>
      <w:proofErr w:type="gramEnd"/>
      <w:r>
        <w:rPr>
          <w:rStyle w:val="FootnoteReference"/>
          <w:rFonts w:eastAsia="Times New Roman"/>
          <w:szCs w:val="24"/>
        </w:rPr>
        <w:footnoteReference w:id="16"/>
      </w:r>
      <w:r>
        <w:rPr>
          <w:rFonts w:eastAsia="Times New Roman"/>
          <w:szCs w:val="24"/>
        </w:rPr>
        <w:t xml:space="preserve">  Dodd-Frank directs the SEC to make changes affecting broker-dealers, investment advisors and credit rating agencies.  The SEC is to develop new rules for the fiduciary duties between customers and their brokers-dealers and investment advisors and for the disclosures that brokers-dealers and investment advisors make when selling an investment.  Dodd-Frank gives the SEC greater authority regarding the credit rating agencies and charge</w:t>
      </w:r>
      <w:r w:rsidR="000C2862">
        <w:rPr>
          <w:rFonts w:eastAsia="Times New Roman"/>
          <w:szCs w:val="24"/>
        </w:rPr>
        <w:t xml:space="preserve">s the SEC </w:t>
      </w:r>
      <w:r>
        <w:rPr>
          <w:rFonts w:eastAsia="Times New Roman"/>
          <w:szCs w:val="24"/>
        </w:rPr>
        <w:t xml:space="preserve">with developing new regulations regarding conflicts of interest, rating performance and product marketing.  The SEC is also to develop rules for “asset-backed securities”, which include collateralized mortgage and debt obligations.  These rules will require that issuers retain some portion of the investment risk and will prohibit issuers from hedging the risk.  The SEC is also charged with implementing the “say on pay” and “proxy access” rules. </w:t>
      </w:r>
    </w:p>
    <w:p w:rsidR="0076659F" w:rsidRPr="00611D48" w:rsidRDefault="0076659F" w:rsidP="00331B18">
      <w:pPr>
        <w:overflowPunct w:val="0"/>
        <w:spacing w:line="360" w:lineRule="auto"/>
        <w:ind w:firstLine="720"/>
        <w:textAlignment w:val="baseline"/>
        <w:rPr>
          <w:rFonts w:eastAsia="Times New Roman"/>
          <w:szCs w:val="24"/>
        </w:rPr>
      </w:pPr>
      <w:proofErr w:type="gramStart"/>
      <w:r w:rsidRPr="0076659F">
        <w:rPr>
          <w:i/>
          <w:szCs w:val="24"/>
        </w:rPr>
        <w:t>New Hedge Fund Regulations</w:t>
      </w:r>
      <w:r>
        <w:rPr>
          <w:szCs w:val="24"/>
        </w:rPr>
        <w:t>.</w:t>
      </w:r>
      <w:proofErr w:type="gramEnd"/>
      <w:r w:rsidR="007F0D58">
        <w:rPr>
          <w:rStyle w:val="FootnoteReference"/>
          <w:szCs w:val="24"/>
        </w:rPr>
        <w:footnoteReference w:id="17"/>
      </w:r>
      <w:r>
        <w:rPr>
          <w:szCs w:val="24"/>
        </w:rPr>
        <w:t xml:space="preserve">  Dodd-Frank imposes significant new regulations over hedge funds</w:t>
      </w:r>
      <w:r w:rsidR="00B03166">
        <w:rPr>
          <w:szCs w:val="24"/>
        </w:rPr>
        <w:t>,</w:t>
      </w:r>
      <w:r w:rsidR="00F42C9A">
        <w:rPr>
          <w:szCs w:val="24"/>
        </w:rPr>
        <w:t xml:space="preserve"> private equity funds</w:t>
      </w:r>
      <w:r>
        <w:rPr>
          <w:szCs w:val="24"/>
        </w:rPr>
        <w:t xml:space="preserve"> and their advisors.  Hedge funds and private equity funds are generally investment funds owned by </w:t>
      </w:r>
      <w:r w:rsidR="00417DD3">
        <w:rPr>
          <w:szCs w:val="24"/>
        </w:rPr>
        <w:t xml:space="preserve">no more than </w:t>
      </w:r>
      <w:r>
        <w:rPr>
          <w:szCs w:val="24"/>
        </w:rPr>
        <w:t xml:space="preserve">100 </w:t>
      </w:r>
      <w:r w:rsidR="00417DD3">
        <w:rPr>
          <w:szCs w:val="24"/>
        </w:rPr>
        <w:t>beneficial owners or by</w:t>
      </w:r>
      <w:r>
        <w:rPr>
          <w:szCs w:val="24"/>
        </w:rPr>
        <w:t xml:space="preserve"> </w:t>
      </w:r>
      <w:r w:rsidR="00D27EBE">
        <w:rPr>
          <w:szCs w:val="24"/>
        </w:rPr>
        <w:t>qualified investors</w:t>
      </w:r>
      <w:r w:rsidR="00417DD3">
        <w:rPr>
          <w:szCs w:val="24"/>
        </w:rPr>
        <w:t xml:space="preserve"> only</w:t>
      </w:r>
      <w:r w:rsidR="00D27EBE">
        <w:rPr>
          <w:szCs w:val="24"/>
        </w:rPr>
        <w:t xml:space="preserve">.  Because of their limited ownership, </w:t>
      </w:r>
      <w:r w:rsidR="00D90BBF">
        <w:rPr>
          <w:szCs w:val="24"/>
        </w:rPr>
        <w:t xml:space="preserve">these funds </w:t>
      </w:r>
      <w:r w:rsidR="00D27EBE">
        <w:rPr>
          <w:szCs w:val="24"/>
        </w:rPr>
        <w:t xml:space="preserve">were largely exempt from the reporting and regulatory requirements applicable to more widely held investment funds.  Despite their </w:t>
      </w:r>
      <w:r w:rsidR="00B03166">
        <w:rPr>
          <w:szCs w:val="24"/>
        </w:rPr>
        <w:t>exemption</w:t>
      </w:r>
      <w:r w:rsidR="00D27EBE">
        <w:rPr>
          <w:szCs w:val="24"/>
        </w:rPr>
        <w:t xml:space="preserve">, however, many of the funds held assets of a billion dollars or more and their role in the financial markets was significant.  Dodd-Frank increases the reporting </w:t>
      </w:r>
      <w:r w:rsidR="00D27EBE" w:rsidRPr="00052CB8">
        <w:rPr>
          <w:szCs w:val="24"/>
        </w:rPr>
        <w:t>requirements for the</w:t>
      </w:r>
      <w:r w:rsidR="00D90BBF" w:rsidRPr="00052CB8">
        <w:rPr>
          <w:szCs w:val="24"/>
        </w:rPr>
        <w:t>se funds and their</w:t>
      </w:r>
      <w:r w:rsidR="00D27EBE" w:rsidRPr="00052CB8">
        <w:rPr>
          <w:szCs w:val="24"/>
        </w:rPr>
        <w:t xml:space="preserve"> advisors.  </w:t>
      </w:r>
      <w:r w:rsidR="00F42C9A" w:rsidRPr="00052CB8">
        <w:rPr>
          <w:szCs w:val="24"/>
        </w:rPr>
        <w:t xml:space="preserve">The new reporting requirements include disclosure of </w:t>
      </w:r>
      <w:r w:rsidR="00F42C9A" w:rsidRPr="00052CB8">
        <w:rPr>
          <w:rStyle w:val="apple-style-span"/>
        </w:rPr>
        <w:t xml:space="preserve">the businesses that service the funds, such as brokers, auditors and marketers.  Fund advisers will have to disclose conflicts of interest, such as compensation for referrals. </w:t>
      </w:r>
      <w:r w:rsidR="00F42C9A" w:rsidRPr="00052CB8">
        <w:rPr>
          <w:szCs w:val="24"/>
        </w:rPr>
        <w:t xml:space="preserve"> The requirements </w:t>
      </w:r>
      <w:r w:rsidR="00D27EBE" w:rsidRPr="00052CB8">
        <w:rPr>
          <w:szCs w:val="24"/>
        </w:rPr>
        <w:t>retain exemptions for closely held vent</w:t>
      </w:r>
      <w:r w:rsidR="00D27EBE">
        <w:rPr>
          <w:szCs w:val="24"/>
        </w:rPr>
        <w:t xml:space="preserve">ure capital funds, funds under $150 million, and “family” funds.  </w:t>
      </w:r>
      <w:r w:rsidR="00D90BBF">
        <w:rPr>
          <w:szCs w:val="24"/>
        </w:rPr>
        <w:t>Dodd-Frank also increases the net worth requirement for “accredited investors” by excluding the value of the residence from the net worth calculation.</w:t>
      </w:r>
    </w:p>
    <w:p w:rsidR="00BC19FB" w:rsidRPr="00611D48" w:rsidRDefault="007063E7" w:rsidP="00A6041D">
      <w:pPr>
        <w:pStyle w:val="Heading4"/>
        <w:rPr>
          <w:rFonts w:eastAsia="Times New Roman"/>
        </w:rPr>
      </w:pPr>
      <w:r w:rsidRPr="00611D48">
        <w:rPr>
          <w:rFonts w:eastAsia="Times New Roman"/>
        </w:rPr>
        <w:t xml:space="preserve">Limiting Derivative </w:t>
      </w:r>
      <w:r w:rsidR="00396A1D">
        <w:rPr>
          <w:rFonts w:eastAsia="Times New Roman"/>
        </w:rPr>
        <w:t xml:space="preserve">and Other Trading </w:t>
      </w:r>
      <w:r w:rsidRPr="00611D48">
        <w:rPr>
          <w:rFonts w:eastAsia="Times New Roman"/>
        </w:rPr>
        <w:t>Risk</w:t>
      </w:r>
      <w:r w:rsidR="00396A1D">
        <w:rPr>
          <w:rFonts w:eastAsia="Times New Roman"/>
        </w:rPr>
        <w:t>s</w:t>
      </w:r>
      <w:r w:rsidRPr="00611D48">
        <w:rPr>
          <w:rFonts w:eastAsia="Times New Roman"/>
        </w:rPr>
        <w:t xml:space="preserve"> </w:t>
      </w:r>
    </w:p>
    <w:p w:rsidR="00DD322C" w:rsidRPr="00611D48" w:rsidRDefault="009B573A" w:rsidP="007811CA">
      <w:pPr>
        <w:overflowPunct w:val="0"/>
        <w:spacing w:line="360" w:lineRule="auto"/>
        <w:ind w:firstLine="720"/>
        <w:textAlignment w:val="baseline"/>
        <w:rPr>
          <w:szCs w:val="24"/>
        </w:rPr>
      </w:pPr>
      <w:r>
        <w:rPr>
          <w:szCs w:val="24"/>
        </w:rPr>
        <w:t>W</w:t>
      </w:r>
      <w:r w:rsidR="007811CA" w:rsidRPr="00611D48">
        <w:rPr>
          <w:szCs w:val="24"/>
        </w:rPr>
        <w:t>e have discussed the effects of collateralized debt and mortgage obligations and other types of financial derivatives</w:t>
      </w:r>
      <w:r w:rsidR="007059CD">
        <w:rPr>
          <w:szCs w:val="24"/>
        </w:rPr>
        <w:t xml:space="preserve">, also known as “swaps”, </w:t>
      </w:r>
      <w:r w:rsidR="007811CA" w:rsidRPr="00611D48">
        <w:rPr>
          <w:szCs w:val="24"/>
        </w:rPr>
        <w:t xml:space="preserve">in aggravating the financial </w:t>
      </w:r>
      <w:r w:rsidR="007811CA" w:rsidRPr="00611D48">
        <w:rPr>
          <w:szCs w:val="24"/>
        </w:rPr>
        <w:lastRenderedPageBreak/>
        <w:t>crisis.</w:t>
      </w:r>
      <w:r>
        <w:rPr>
          <w:rStyle w:val="FootnoteReference"/>
          <w:szCs w:val="24"/>
        </w:rPr>
        <w:footnoteReference w:id="18"/>
      </w:r>
      <w:r w:rsidR="007811CA" w:rsidRPr="00611D48">
        <w:rPr>
          <w:szCs w:val="24"/>
        </w:rPr>
        <w:t xml:space="preserve">  Because financial derivatives extrapolate the value of an underlying asset, changes in the value of the underlying asset are magnified </w:t>
      </w:r>
      <w:r w:rsidR="00DE3311">
        <w:rPr>
          <w:szCs w:val="24"/>
        </w:rPr>
        <w:t>in</w:t>
      </w:r>
      <w:r w:rsidR="007811CA" w:rsidRPr="00611D48">
        <w:rPr>
          <w:szCs w:val="24"/>
        </w:rPr>
        <w:t xml:space="preserve"> the </w:t>
      </w:r>
      <w:r w:rsidR="0024312F">
        <w:rPr>
          <w:szCs w:val="24"/>
        </w:rPr>
        <w:t xml:space="preserve">linked </w:t>
      </w:r>
      <w:r w:rsidR="007811CA" w:rsidRPr="00611D48">
        <w:rPr>
          <w:szCs w:val="24"/>
        </w:rPr>
        <w:t xml:space="preserve">derivatives and </w:t>
      </w:r>
      <w:r w:rsidR="00DD322C" w:rsidRPr="00611D48">
        <w:rPr>
          <w:szCs w:val="24"/>
        </w:rPr>
        <w:t xml:space="preserve">market </w:t>
      </w:r>
      <w:r w:rsidR="007811CA" w:rsidRPr="00611D48">
        <w:rPr>
          <w:szCs w:val="24"/>
        </w:rPr>
        <w:t xml:space="preserve">risks are increased accordingly.  </w:t>
      </w:r>
      <w:r w:rsidR="00DD322C" w:rsidRPr="00611D48">
        <w:rPr>
          <w:szCs w:val="24"/>
        </w:rPr>
        <w:t xml:space="preserve">The </w:t>
      </w:r>
      <w:r w:rsidR="007E5918" w:rsidRPr="00611D48">
        <w:rPr>
          <w:szCs w:val="24"/>
        </w:rPr>
        <w:t xml:space="preserve">size of the </w:t>
      </w:r>
      <w:r w:rsidR="00DD322C" w:rsidRPr="00611D48">
        <w:rPr>
          <w:szCs w:val="24"/>
        </w:rPr>
        <w:t xml:space="preserve">derivative market </w:t>
      </w:r>
      <w:r w:rsidR="007E5918" w:rsidRPr="00611D48">
        <w:rPr>
          <w:szCs w:val="24"/>
        </w:rPr>
        <w:t>is enormous</w:t>
      </w:r>
      <w:r>
        <w:rPr>
          <w:szCs w:val="24"/>
        </w:rPr>
        <w:t>.</w:t>
      </w:r>
      <w:r w:rsidR="007E5918" w:rsidRPr="00611D48">
        <w:rPr>
          <w:szCs w:val="24"/>
        </w:rPr>
        <w:t xml:space="preserve"> </w:t>
      </w:r>
      <w:r>
        <w:rPr>
          <w:szCs w:val="24"/>
        </w:rPr>
        <w:t xml:space="preserve"> T</w:t>
      </w:r>
      <w:r w:rsidR="00DE3311">
        <w:rPr>
          <w:szCs w:val="24"/>
        </w:rPr>
        <w:t xml:space="preserve">he notional amount of U.S. derivatives </w:t>
      </w:r>
      <w:r w:rsidR="00DD322C" w:rsidRPr="00611D48">
        <w:rPr>
          <w:szCs w:val="24"/>
        </w:rPr>
        <w:t xml:space="preserve">was </w:t>
      </w:r>
      <w:r w:rsidR="00396A1D">
        <w:rPr>
          <w:szCs w:val="24"/>
        </w:rPr>
        <w:t xml:space="preserve">approximately </w:t>
      </w:r>
      <w:r w:rsidR="00DE3311">
        <w:t>$</w:t>
      </w:r>
      <w:r w:rsidR="00396A1D">
        <w:rPr>
          <w:szCs w:val="24"/>
        </w:rPr>
        <w:t>177.6 </w:t>
      </w:r>
      <w:r w:rsidR="00DE3311">
        <w:t>trillion in the second quarter of 20</w:t>
      </w:r>
      <w:r w:rsidR="00396A1D">
        <w:t>1</w:t>
      </w:r>
      <w:r w:rsidR="00DE3311">
        <w:t>0</w:t>
      </w:r>
      <w:r>
        <w:t>.</w:t>
      </w:r>
      <w:r w:rsidR="007D7AAA">
        <w:rPr>
          <w:rStyle w:val="FootnoteReference"/>
        </w:rPr>
        <w:footnoteReference w:id="19"/>
      </w:r>
      <w:r w:rsidR="007E5918" w:rsidRPr="00611D48">
        <w:rPr>
          <w:szCs w:val="24"/>
        </w:rPr>
        <w:t xml:space="preserve"> </w:t>
      </w:r>
      <w:r>
        <w:rPr>
          <w:szCs w:val="24"/>
        </w:rPr>
        <w:t xml:space="preserve"> Yet despite its size, the </w:t>
      </w:r>
      <w:r w:rsidR="007E5918" w:rsidRPr="00611D48">
        <w:rPr>
          <w:szCs w:val="24"/>
        </w:rPr>
        <w:t xml:space="preserve">market </w:t>
      </w:r>
      <w:r w:rsidR="007059CD">
        <w:rPr>
          <w:szCs w:val="24"/>
        </w:rPr>
        <w:t xml:space="preserve">is relatively young and lacks the transparency and stability of older financial markets.  </w:t>
      </w:r>
      <w:r w:rsidR="007E5918" w:rsidRPr="00611D48">
        <w:rPr>
          <w:szCs w:val="24"/>
        </w:rPr>
        <w:t xml:space="preserve">Questions about whether signatories, counterparties and assignees of the derivatives could perform caused the </w:t>
      </w:r>
      <w:r w:rsidR="007D7AAA">
        <w:rPr>
          <w:szCs w:val="24"/>
        </w:rPr>
        <w:t xml:space="preserve">financial </w:t>
      </w:r>
      <w:r w:rsidR="007E5918" w:rsidRPr="00611D48">
        <w:rPr>
          <w:szCs w:val="24"/>
        </w:rPr>
        <w:t>markets to freeze</w:t>
      </w:r>
      <w:r w:rsidR="007D7AAA">
        <w:rPr>
          <w:szCs w:val="24"/>
        </w:rPr>
        <w:t xml:space="preserve"> in August 2007</w:t>
      </w:r>
      <w:r w:rsidR="007E5918" w:rsidRPr="00611D48">
        <w:rPr>
          <w:szCs w:val="24"/>
        </w:rPr>
        <w:t xml:space="preserve">. </w:t>
      </w:r>
      <w:r>
        <w:rPr>
          <w:szCs w:val="24"/>
        </w:rPr>
        <w:t xml:space="preserve"> Derivatives were instrumental in AIG’s fall and in many of the financial losses incurred by the investment banks. </w:t>
      </w:r>
    </w:p>
    <w:p w:rsidR="003F2A23" w:rsidRPr="00F16B1B" w:rsidRDefault="005223A5" w:rsidP="007811CA">
      <w:pPr>
        <w:overflowPunct w:val="0"/>
        <w:spacing w:line="360" w:lineRule="auto"/>
        <w:ind w:firstLine="720"/>
        <w:textAlignment w:val="baseline"/>
        <w:rPr>
          <w:szCs w:val="24"/>
        </w:rPr>
      </w:pPr>
      <w:proofErr w:type="gramStart"/>
      <w:r>
        <w:rPr>
          <w:i/>
          <w:szCs w:val="24"/>
        </w:rPr>
        <w:t xml:space="preserve">Limiting the </w:t>
      </w:r>
      <w:r w:rsidRPr="005223A5">
        <w:rPr>
          <w:i/>
          <w:szCs w:val="24"/>
        </w:rPr>
        <w:t>Use of Derivatives</w:t>
      </w:r>
      <w:r>
        <w:rPr>
          <w:szCs w:val="24"/>
        </w:rPr>
        <w:t>.</w:t>
      </w:r>
      <w:proofErr w:type="gramEnd"/>
      <w:r w:rsidR="00882872">
        <w:rPr>
          <w:rStyle w:val="FootnoteReference"/>
          <w:szCs w:val="24"/>
        </w:rPr>
        <w:footnoteReference w:id="20"/>
      </w:r>
      <w:r>
        <w:rPr>
          <w:szCs w:val="24"/>
        </w:rPr>
        <w:t xml:space="preserve">  </w:t>
      </w:r>
      <w:r w:rsidR="007E5918" w:rsidRPr="00F16B1B">
        <w:rPr>
          <w:szCs w:val="24"/>
        </w:rPr>
        <w:t xml:space="preserve">To address these issues, </w:t>
      </w:r>
      <w:r w:rsidR="00F16B1B" w:rsidRPr="00F16B1B">
        <w:rPr>
          <w:szCs w:val="24"/>
        </w:rPr>
        <w:t>Dodd-Frank requires that banks limit their derivative positions to “bona fide hedging and traditional bank activities</w:t>
      </w:r>
      <w:r w:rsidR="00026C15">
        <w:rPr>
          <w:szCs w:val="24"/>
        </w:rPr>
        <w:t>.</w:t>
      </w:r>
      <w:r w:rsidR="00F16B1B" w:rsidRPr="00F16B1B">
        <w:rPr>
          <w:szCs w:val="24"/>
        </w:rPr>
        <w:t xml:space="preserve">”  It also requires that derivative contracts be cleared and exchange-traded, if possible, with the SEC and CFTC to clarify by rule-making.  Derivatives (swap) dealers (mostly banks) will have additional margin and capital requirements. </w:t>
      </w:r>
      <w:r w:rsidR="00F16B1B">
        <w:rPr>
          <w:szCs w:val="24"/>
        </w:rPr>
        <w:t xml:space="preserve"> The intent of these provisions is to increase market </w:t>
      </w:r>
      <w:r w:rsidR="00F16B1B" w:rsidRPr="00F16B1B">
        <w:rPr>
          <w:rStyle w:val="apple-style-span"/>
          <w:szCs w:val="24"/>
        </w:rPr>
        <w:t xml:space="preserve">transparency, accountability, and stability </w:t>
      </w:r>
      <w:r w:rsidR="00F16B1B">
        <w:rPr>
          <w:rStyle w:val="apple-style-span"/>
          <w:szCs w:val="24"/>
        </w:rPr>
        <w:t xml:space="preserve">without </w:t>
      </w:r>
      <w:r w:rsidR="00AE1611">
        <w:rPr>
          <w:rStyle w:val="apple-style-span"/>
          <w:szCs w:val="24"/>
        </w:rPr>
        <w:t xml:space="preserve">adding regulatory burdens that would discourage institutions from </w:t>
      </w:r>
      <w:r w:rsidR="00F16B1B" w:rsidRPr="00F16B1B">
        <w:rPr>
          <w:rStyle w:val="apple-style-span"/>
          <w:szCs w:val="24"/>
        </w:rPr>
        <w:t>hedging their own risks.</w:t>
      </w:r>
    </w:p>
    <w:p w:rsidR="00F16B1B" w:rsidRPr="00611D48" w:rsidRDefault="00257DCF" w:rsidP="007811CA">
      <w:pPr>
        <w:overflowPunct w:val="0"/>
        <w:spacing w:line="360" w:lineRule="auto"/>
        <w:ind w:firstLine="720"/>
        <w:textAlignment w:val="baseline"/>
        <w:rPr>
          <w:szCs w:val="24"/>
        </w:rPr>
      </w:pPr>
      <w:proofErr w:type="gramStart"/>
      <w:r w:rsidRPr="00257DCF">
        <w:rPr>
          <w:i/>
          <w:szCs w:val="24"/>
        </w:rPr>
        <w:t>Uniform Risk Management Standards</w:t>
      </w:r>
      <w:r>
        <w:rPr>
          <w:szCs w:val="24"/>
        </w:rPr>
        <w:t>.</w:t>
      </w:r>
      <w:proofErr w:type="gramEnd"/>
      <w:r>
        <w:rPr>
          <w:szCs w:val="24"/>
        </w:rPr>
        <w:t xml:space="preserve">  </w:t>
      </w:r>
      <w:r w:rsidR="00AE1611">
        <w:rPr>
          <w:szCs w:val="24"/>
        </w:rPr>
        <w:t xml:space="preserve">Dodd-Frank also charges the Federal Reserve with developing uniform standards for risk management by “systemically important financial market utilities; strengthening the liquidity of systemically important financial market utilities; and providing the [Federal Reserve] an enhanced role in the </w:t>
      </w:r>
      <w:r w:rsidR="00AE1611">
        <w:rPr>
          <w:szCs w:val="24"/>
        </w:rPr>
        <w:lastRenderedPageBreak/>
        <w:t>supervision of risk management standards for systemically important payment, clearing, and settlement activities by financial institutions.”</w:t>
      </w:r>
      <w:r w:rsidR="00AE1611">
        <w:rPr>
          <w:rStyle w:val="FootnoteReference"/>
          <w:szCs w:val="24"/>
        </w:rPr>
        <w:footnoteReference w:id="21"/>
      </w:r>
      <w:r w:rsidR="00AE1611">
        <w:rPr>
          <w:szCs w:val="24"/>
        </w:rPr>
        <w:t xml:space="preserve"> </w:t>
      </w:r>
    </w:p>
    <w:p w:rsidR="007469E4" w:rsidRDefault="007469E4" w:rsidP="00BC19FB">
      <w:pPr>
        <w:overflowPunct w:val="0"/>
        <w:spacing w:line="360" w:lineRule="auto"/>
        <w:ind w:firstLine="720"/>
        <w:textAlignment w:val="baseline"/>
        <w:rPr>
          <w:rFonts w:eastAsia="Times New Roman"/>
          <w:szCs w:val="24"/>
        </w:rPr>
      </w:pPr>
      <w:r w:rsidRPr="007469E4">
        <w:rPr>
          <w:rFonts w:eastAsia="Times New Roman"/>
          <w:i/>
          <w:szCs w:val="24"/>
        </w:rPr>
        <w:t>The Volker Rule</w:t>
      </w:r>
      <w:r w:rsidR="005223A5">
        <w:rPr>
          <w:rFonts w:eastAsia="Times New Roman"/>
          <w:i/>
          <w:szCs w:val="24"/>
        </w:rPr>
        <w:t xml:space="preserve"> – No Proprietary Trading</w:t>
      </w:r>
      <w:r>
        <w:rPr>
          <w:rFonts w:eastAsia="Times New Roman"/>
          <w:szCs w:val="24"/>
        </w:rPr>
        <w:t>.</w:t>
      </w:r>
      <w:r w:rsidR="00BE0FF6">
        <w:rPr>
          <w:rStyle w:val="FootnoteReference"/>
          <w:rFonts w:eastAsia="Times New Roman"/>
          <w:szCs w:val="24"/>
        </w:rPr>
        <w:footnoteReference w:id="22"/>
      </w:r>
      <w:r>
        <w:rPr>
          <w:rFonts w:eastAsia="Times New Roman"/>
          <w:szCs w:val="24"/>
        </w:rPr>
        <w:t xml:space="preserve">  The so-called “Volker Rule” bars a bank or an institution owning a bank from trading for its own </w:t>
      </w:r>
      <w:r w:rsidR="00A80444">
        <w:rPr>
          <w:rFonts w:eastAsia="Times New Roman"/>
          <w:szCs w:val="24"/>
        </w:rPr>
        <w:t>account and</w:t>
      </w:r>
      <w:r>
        <w:rPr>
          <w:rFonts w:eastAsia="Times New Roman"/>
          <w:szCs w:val="24"/>
        </w:rPr>
        <w:t xml:space="preserve"> from owning or investing in a hedge fund or private equity fund.  The rule </w:t>
      </w:r>
      <w:r w:rsidR="00A80444">
        <w:rPr>
          <w:rFonts w:eastAsia="Times New Roman"/>
          <w:szCs w:val="24"/>
        </w:rPr>
        <w:t xml:space="preserve">assumes that banks should use their assets and </w:t>
      </w:r>
      <w:r w:rsidR="005A00F8">
        <w:rPr>
          <w:rFonts w:eastAsia="Times New Roman"/>
          <w:szCs w:val="24"/>
        </w:rPr>
        <w:t xml:space="preserve">Fed </w:t>
      </w:r>
      <w:r w:rsidR="00A80444">
        <w:rPr>
          <w:rFonts w:eastAsia="Times New Roman"/>
          <w:szCs w:val="24"/>
        </w:rPr>
        <w:t xml:space="preserve">borrowing </w:t>
      </w:r>
      <w:r w:rsidR="005A00F8">
        <w:rPr>
          <w:rFonts w:eastAsia="Times New Roman"/>
          <w:szCs w:val="24"/>
        </w:rPr>
        <w:t xml:space="preserve">access for making </w:t>
      </w:r>
      <w:r w:rsidR="00A80444">
        <w:rPr>
          <w:rFonts w:eastAsia="Times New Roman"/>
          <w:szCs w:val="24"/>
        </w:rPr>
        <w:t xml:space="preserve">loans to borrowers rather than </w:t>
      </w:r>
      <w:r w:rsidR="005A00F8">
        <w:rPr>
          <w:rFonts w:eastAsia="Times New Roman"/>
          <w:szCs w:val="24"/>
        </w:rPr>
        <w:t xml:space="preserve">making </w:t>
      </w:r>
      <w:r w:rsidR="00A80444">
        <w:rPr>
          <w:rFonts w:eastAsia="Times New Roman"/>
          <w:szCs w:val="24"/>
        </w:rPr>
        <w:t xml:space="preserve">investments for </w:t>
      </w:r>
      <w:r w:rsidR="005A00F8">
        <w:rPr>
          <w:rFonts w:eastAsia="Times New Roman"/>
          <w:szCs w:val="24"/>
        </w:rPr>
        <w:t>themselves</w:t>
      </w:r>
      <w:r w:rsidR="00A80444">
        <w:rPr>
          <w:rFonts w:eastAsia="Times New Roman"/>
          <w:szCs w:val="24"/>
        </w:rPr>
        <w:t xml:space="preserve">.  The rule is also </w:t>
      </w:r>
      <w:r>
        <w:rPr>
          <w:rFonts w:eastAsia="Times New Roman"/>
          <w:szCs w:val="24"/>
        </w:rPr>
        <w:t xml:space="preserve">intended to </w:t>
      </w:r>
      <w:r w:rsidR="00A80444">
        <w:rPr>
          <w:rFonts w:eastAsia="Times New Roman"/>
          <w:szCs w:val="24"/>
        </w:rPr>
        <w:t xml:space="preserve">reduce the perceived risks of proprietary trading.  </w:t>
      </w:r>
      <w:r w:rsidR="00417DD3">
        <w:rPr>
          <w:rFonts w:eastAsia="Times New Roman"/>
          <w:szCs w:val="24"/>
        </w:rPr>
        <w:t xml:space="preserve">The rule </w:t>
      </w:r>
      <w:proofErr w:type="gramStart"/>
      <w:r w:rsidR="00417DD3">
        <w:rPr>
          <w:rFonts w:eastAsia="Times New Roman"/>
          <w:szCs w:val="24"/>
        </w:rPr>
        <w:t>excepts</w:t>
      </w:r>
      <w:proofErr w:type="gramEnd"/>
      <w:r w:rsidR="00417DD3">
        <w:rPr>
          <w:rFonts w:eastAsia="Times New Roman"/>
          <w:szCs w:val="24"/>
        </w:rPr>
        <w:t xml:space="preserve"> trading in government securities, underwriting or market-making activity, </w:t>
      </w:r>
      <w:r w:rsidR="00026C15">
        <w:rPr>
          <w:rFonts w:eastAsia="Times New Roman"/>
          <w:szCs w:val="24"/>
        </w:rPr>
        <w:t xml:space="preserve">and </w:t>
      </w:r>
      <w:r w:rsidR="00417DD3">
        <w:rPr>
          <w:rFonts w:eastAsia="Times New Roman"/>
          <w:szCs w:val="24"/>
        </w:rPr>
        <w:t>trading for customer accounts.  The rule does not apply to non-bank financial companies, such as insurance companies and securities firms.</w:t>
      </w:r>
    </w:p>
    <w:p w:rsidR="00BC19FB" w:rsidRPr="00611D48" w:rsidRDefault="005223A5" w:rsidP="00A6041D">
      <w:pPr>
        <w:pStyle w:val="Heading4"/>
        <w:rPr>
          <w:rFonts w:eastAsia="Times New Roman"/>
        </w:rPr>
      </w:pPr>
      <w:r>
        <w:rPr>
          <w:rFonts w:eastAsia="Times New Roman"/>
        </w:rPr>
        <w:t>Corporate Governance</w:t>
      </w:r>
      <w:r w:rsidR="00331B18" w:rsidRPr="00611D48">
        <w:rPr>
          <w:rFonts w:eastAsia="Times New Roman"/>
        </w:rPr>
        <w:t xml:space="preserve"> </w:t>
      </w:r>
    </w:p>
    <w:p w:rsidR="00267513" w:rsidRDefault="00A64BE0" w:rsidP="00331B18">
      <w:pPr>
        <w:overflowPunct w:val="0"/>
        <w:spacing w:line="360" w:lineRule="auto"/>
        <w:ind w:firstLine="720"/>
        <w:textAlignment w:val="baseline"/>
        <w:rPr>
          <w:rFonts w:eastAsia="Times New Roman"/>
          <w:szCs w:val="24"/>
        </w:rPr>
      </w:pPr>
      <w:r>
        <w:rPr>
          <w:rFonts w:eastAsia="Times New Roman"/>
        </w:rPr>
        <w:t>A</w:t>
      </w:r>
      <w:r w:rsidR="00A07F34">
        <w:rPr>
          <w:rFonts w:eastAsia="Times New Roman"/>
        </w:rPr>
        <w:t xml:space="preserve">dvocates for stronger corporate governance argue that companies perform better – and take fewer risks – when management is more accountable to the shareholders.  </w:t>
      </w:r>
      <w:r w:rsidR="00C21FF6">
        <w:rPr>
          <w:rFonts w:eastAsia="Times New Roman"/>
        </w:rPr>
        <w:t xml:space="preserve">This </w:t>
      </w:r>
      <w:r w:rsidR="008D5FEB">
        <w:rPr>
          <w:rFonts w:eastAsia="Times New Roman"/>
        </w:rPr>
        <w:t>idea</w:t>
      </w:r>
      <w:r w:rsidR="00C21FF6">
        <w:rPr>
          <w:rFonts w:eastAsia="Times New Roman"/>
        </w:rPr>
        <w:t xml:space="preserve"> harkens back to </w:t>
      </w:r>
      <w:proofErr w:type="spellStart"/>
      <w:r w:rsidR="00C21FF6">
        <w:rPr>
          <w:rFonts w:eastAsia="Times New Roman"/>
        </w:rPr>
        <w:t>Berle</w:t>
      </w:r>
      <w:proofErr w:type="spellEnd"/>
      <w:r w:rsidR="00C21FF6">
        <w:rPr>
          <w:rFonts w:eastAsia="Times New Roman"/>
        </w:rPr>
        <w:t xml:space="preserve"> and Means’ seminal 1932 work, which documented the separation of relatively passive shareholders from the executives who managed the</w:t>
      </w:r>
      <w:r>
        <w:rPr>
          <w:rFonts w:eastAsia="Times New Roman"/>
        </w:rPr>
        <w:t>ir</w:t>
      </w:r>
      <w:r w:rsidR="00C21FF6">
        <w:rPr>
          <w:rFonts w:eastAsia="Times New Roman"/>
        </w:rPr>
        <w:t xml:space="preserve"> companies.</w:t>
      </w:r>
      <w:r w:rsidR="00C21FF6">
        <w:rPr>
          <w:rStyle w:val="FootnoteReference"/>
          <w:rFonts w:eastAsia="Times New Roman"/>
        </w:rPr>
        <w:footnoteReference w:id="23"/>
      </w:r>
      <w:r w:rsidR="00C21FF6">
        <w:rPr>
          <w:rFonts w:eastAsia="Times New Roman"/>
        </w:rPr>
        <w:t xml:space="preserve">  But </w:t>
      </w:r>
      <w:r w:rsidR="008D5FEB">
        <w:rPr>
          <w:rFonts w:eastAsia="Times New Roman"/>
        </w:rPr>
        <w:t xml:space="preserve">idea </w:t>
      </w:r>
      <w:r w:rsidR="00C21FF6">
        <w:rPr>
          <w:rFonts w:eastAsia="Times New Roman"/>
        </w:rPr>
        <w:t xml:space="preserve">has grown in recent years.  Evidence can be seen in the </w:t>
      </w:r>
      <w:r w:rsidR="008D5FEB">
        <w:rPr>
          <w:rFonts w:eastAsia="Times New Roman"/>
        </w:rPr>
        <w:t>Sarbanes</w:t>
      </w:r>
      <w:r w:rsidR="00A07F34">
        <w:rPr>
          <w:rFonts w:eastAsia="Times New Roman"/>
        </w:rPr>
        <w:t xml:space="preserve"> Oxley Act,</w:t>
      </w:r>
      <w:r w:rsidR="005E4992">
        <w:rPr>
          <w:rStyle w:val="FootnoteReference"/>
          <w:rFonts w:eastAsia="Times New Roman"/>
        </w:rPr>
        <w:footnoteReference w:id="24"/>
      </w:r>
      <w:r w:rsidR="00A07F34">
        <w:rPr>
          <w:rFonts w:eastAsia="Times New Roman"/>
        </w:rPr>
        <w:t xml:space="preserve"> which strengthened corporate governance in the wake of the Enron</w:t>
      </w:r>
      <w:r w:rsidR="00F863C9">
        <w:rPr>
          <w:rFonts w:eastAsia="Times New Roman"/>
        </w:rPr>
        <w:t>,</w:t>
      </w:r>
      <w:r w:rsidR="00A07F34">
        <w:rPr>
          <w:rFonts w:eastAsia="Times New Roman"/>
        </w:rPr>
        <w:t xml:space="preserve"> World</w:t>
      </w:r>
      <w:r w:rsidR="004065B4">
        <w:rPr>
          <w:rFonts w:eastAsia="Times New Roman"/>
        </w:rPr>
        <w:t>C</w:t>
      </w:r>
      <w:r w:rsidR="00A07F34">
        <w:rPr>
          <w:rFonts w:eastAsia="Times New Roman"/>
        </w:rPr>
        <w:t xml:space="preserve">om </w:t>
      </w:r>
      <w:r w:rsidR="00F863C9">
        <w:rPr>
          <w:rFonts w:eastAsia="Times New Roman"/>
        </w:rPr>
        <w:t xml:space="preserve">and other corporate </w:t>
      </w:r>
      <w:r w:rsidR="00A07F34">
        <w:rPr>
          <w:rFonts w:eastAsia="Times New Roman"/>
        </w:rPr>
        <w:t>collapses</w:t>
      </w:r>
      <w:r w:rsidR="005E4992">
        <w:rPr>
          <w:rFonts w:eastAsia="Times New Roman"/>
        </w:rPr>
        <w:t xml:space="preserve"> in 2001</w:t>
      </w:r>
      <w:r w:rsidR="004065B4">
        <w:rPr>
          <w:rFonts w:eastAsia="Times New Roman"/>
        </w:rPr>
        <w:t xml:space="preserve"> and 2002</w:t>
      </w:r>
      <w:r w:rsidR="00A07F34">
        <w:rPr>
          <w:rFonts w:eastAsia="Times New Roman"/>
        </w:rPr>
        <w:t xml:space="preserve">.  </w:t>
      </w:r>
      <w:r w:rsidR="009F7DBE">
        <w:rPr>
          <w:rFonts w:eastAsia="Times New Roman"/>
          <w:szCs w:val="24"/>
        </w:rPr>
        <w:t xml:space="preserve">Dodd-Frank makes </w:t>
      </w:r>
      <w:r w:rsidR="00CC6EA6">
        <w:rPr>
          <w:rFonts w:eastAsia="Times New Roman"/>
          <w:szCs w:val="24"/>
        </w:rPr>
        <w:t xml:space="preserve">further </w:t>
      </w:r>
      <w:r w:rsidR="009F7DBE">
        <w:rPr>
          <w:rFonts w:eastAsia="Times New Roman"/>
          <w:szCs w:val="24"/>
        </w:rPr>
        <w:t xml:space="preserve">changes </w:t>
      </w:r>
      <w:r w:rsidR="00CC6EA6">
        <w:rPr>
          <w:rFonts w:eastAsia="Times New Roman"/>
          <w:szCs w:val="24"/>
        </w:rPr>
        <w:t xml:space="preserve">in </w:t>
      </w:r>
      <w:r w:rsidR="009F7DBE">
        <w:rPr>
          <w:rFonts w:eastAsia="Times New Roman"/>
          <w:szCs w:val="24"/>
        </w:rPr>
        <w:t xml:space="preserve">corporate governance, including requirements that public companies allow their shareholders to vote on </w:t>
      </w:r>
      <w:r w:rsidR="00267513">
        <w:rPr>
          <w:rFonts w:eastAsia="Times New Roman"/>
          <w:szCs w:val="24"/>
        </w:rPr>
        <w:t>executive compensation and streamlin</w:t>
      </w:r>
      <w:r w:rsidR="00CC6EA6">
        <w:rPr>
          <w:rFonts w:eastAsia="Times New Roman"/>
          <w:szCs w:val="24"/>
        </w:rPr>
        <w:t>ing</w:t>
      </w:r>
      <w:r w:rsidR="00267513">
        <w:rPr>
          <w:rFonts w:eastAsia="Times New Roman"/>
          <w:szCs w:val="24"/>
        </w:rPr>
        <w:t xml:space="preserve"> procedures for shareholders to nominate directors without board approval. </w:t>
      </w:r>
    </w:p>
    <w:p w:rsidR="00C21FF6" w:rsidRDefault="008F2A05" w:rsidP="008F2A05">
      <w:pPr>
        <w:overflowPunct w:val="0"/>
        <w:spacing w:line="360" w:lineRule="auto"/>
        <w:ind w:firstLine="720"/>
        <w:textAlignment w:val="baseline"/>
        <w:rPr>
          <w:bCs/>
          <w:szCs w:val="24"/>
        </w:rPr>
      </w:pPr>
      <w:r w:rsidRPr="005223A5">
        <w:rPr>
          <w:bCs/>
          <w:i/>
          <w:szCs w:val="24"/>
        </w:rPr>
        <w:lastRenderedPageBreak/>
        <w:t>“Say on Pay” – Shareholder Votes on Executive Compensation</w:t>
      </w:r>
      <w:r>
        <w:rPr>
          <w:bCs/>
          <w:szCs w:val="24"/>
        </w:rPr>
        <w:t>.</w:t>
      </w:r>
      <w:r w:rsidR="008F1BA3">
        <w:rPr>
          <w:rStyle w:val="FootnoteReference"/>
          <w:bCs/>
          <w:szCs w:val="24"/>
        </w:rPr>
        <w:footnoteReference w:id="25"/>
      </w:r>
      <w:r>
        <w:rPr>
          <w:bCs/>
          <w:szCs w:val="24"/>
        </w:rPr>
        <w:t xml:space="preserve">  Under Dodd-Frank, the SEC is to promulgate rules implementing “say on pay”, </w:t>
      </w:r>
      <w:r w:rsidR="000E5CA6">
        <w:rPr>
          <w:bCs/>
          <w:szCs w:val="24"/>
        </w:rPr>
        <w:t>which would give</w:t>
      </w:r>
      <w:r w:rsidRPr="00611D48">
        <w:rPr>
          <w:bCs/>
          <w:szCs w:val="24"/>
        </w:rPr>
        <w:t xml:space="preserve"> shareholders of public companies the right to cast </w:t>
      </w:r>
      <w:r w:rsidR="00351A36">
        <w:rPr>
          <w:bCs/>
          <w:szCs w:val="24"/>
        </w:rPr>
        <w:t>non-binding</w:t>
      </w:r>
      <w:r w:rsidR="00C21FF6">
        <w:rPr>
          <w:bCs/>
          <w:szCs w:val="24"/>
        </w:rPr>
        <w:t>,</w:t>
      </w:r>
      <w:r w:rsidR="00351A36">
        <w:rPr>
          <w:bCs/>
          <w:szCs w:val="24"/>
        </w:rPr>
        <w:t xml:space="preserve"> </w:t>
      </w:r>
      <w:r w:rsidR="00C21FF6" w:rsidRPr="00C21FF6">
        <w:rPr>
          <w:bCs/>
          <w:szCs w:val="24"/>
        </w:rPr>
        <w:t xml:space="preserve">“advisory” </w:t>
      </w:r>
      <w:r w:rsidRPr="00611D48">
        <w:rPr>
          <w:bCs/>
          <w:szCs w:val="24"/>
        </w:rPr>
        <w:t xml:space="preserve">votes on executive compensation.  </w:t>
      </w:r>
      <w:r w:rsidR="00C21FF6" w:rsidRPr="00C21FF6">
        <w:rPr>
          <w:bCs/>
          <w:szCs w:val="24"/>
        </w:rPr>
        <w:t xml:space="preserve">The presumption is that “say </w:t>
      </w:r>
      <w:r w:rsidR="00A42FD1">
        <w:rPr>
          <w:bCs/>
          <w:szCs w:val="24"/>
        </w:rPr>
        <w:t>on</w:t>
      </w:r>
      <w:r w:rsidR="00C21FF6" w:rsidRPr="00C21FF6">
        <w:rPr>
          <w:bCs/>
          <w:szCs w:val="24"/>
        </w:rPr>
        <w:t xml:space="preserve"> pay” draws greater attention to the level of executive compensation, increases communication between directors and institutional investors, and moderates the </w:t>
      </w:r>
      <w:r w:rsidR="00C21FF6">
        <w:rPr>
          <w:bCs/>
          <w:szCs w:val="24"/>
        </w:rPr>
        <w:t xml:space="preserve">levels of </w:t>
      </w:r>
      <w:r w:rsidR="00C21FF6" w:rsidRPr="00C21FF6">
        <w:rPr>
          <w:bCs/>
          <w:szCs w:val="24"/>
        </w:rPr>
        <w:t>executive compensation.</w:t>
      </w:r>
      <w:r w:rsidR="00C21FF6">
        <w:rPr>
          <w:bCs/>
          <w:szCs w:val="24"/>
        </w:rPr>
        <w:t xml:space="preserve"> </w:t>
      </w:r>
    </w:p>
    <w:p w:rsidR="000434F4" w:rsidRDefault="00C21FF6" w:rsidP="008F2A05">
      <w:pPr>
        <w:overflowPunct w:val="0"/>
        <w:spacing w:line="360" w:lineRule="auto"/>
        <w:ind w:firstLine="720"/>
        <w:textAlignment w:val="baseline"/>
        <w:rPr>
          <w:bCs/>
          <w:szCs w:val="24"/>
        </w:rPr>
      </w:pPr>
      <w:r>
        <w:rPr>
          <w:bCs/>
          <w:szCs w:val="24"/>
        </w:rPr>
        <w:t>The “say on pay” rules will require public c</w:t>
      </w:r>
      <w:r w:rsidR="000434F4">
        <w:rPr>
          <w:bCs/>
          <w:szCs w:val="24"/>
        </w:rPr>
        <w:t xml:space="preserve">ompanies </w:t>
      </w:r>
      <w:r>
        <w:rPr>
          <w:bCs/>
          <w:szCs w:val="24"/>
        </w:rPr>
        <w:t xml:space="preserve">to </w:t>
      </w:r>
      <w:r w:rsidR="000434F4">
        <w:rPr>
          <w:bCs/>
          <w:szCs w:val="24"/>
        </w:rPr>
        <w:t xml:space="preserve">submit their executive compensation packages to a shareholder vote at least once every three years.  At least every six years, companies must ask their shareholders whether </w:t>
      </w:r>
      <w:r w:rsidR="00874F0F">
        <w:rPr>
          <w:bCs/>
          <w:szCs w:val="24"/>
        </w:rPr>
        <w:t xml:space="preserve">they should </w:t>
      </w:r>
      <w:r w:rsidR="000434F4">
        <w:rPr>
          <w:bCs/>
          <w:szCs w:val="24"/>
        </w:rPr>
        <w:t xml:space="preserve">vote on executive compensation </w:t>
      </w:r>
      <w:r w:rsidR="00874F0F">
        <w:rPr>
          <w:bCs/>
          <w:szCs w:val="24"/>
        </w:rPr>
        <w:t xml:space="preserve">more often </w:t>
      </w:r>
      <w:r w:rsidR="000434F4">
        <w:rPr>
          <w:bCs/>
          <w:szCs w:val="24"/>
        </w:rPr>
        <w:t xml:space="preserve">than once every three years.  </w:t>
      </w:r>
      <w:r w:rsidR="00180F2A">
        <w:rPr>
          <w:bCs/>
          <w:szCs w:val="24"/>
        </w:rPr>
        <w:t xml:space="preserve">Shareholders would also vote on executive compensation paid in a change of control – the so-called “golden parachute” payments.  The law would also require institutional investors to disclose their votes on compensation.  </w:t>
      </w:r>
      <w:r w:rsidR="008F2A05" w:rsidRPr="00611D48">
        <w:rPr>
          <w:bCs/>
          <w:szCs w:val="24"/>
        </w:rPr>
        <w:t xml:space="preserve">While </w:t>
      </w:r>
      <w:r w:rsidR="000434F4">
        <w:rPr>
          <w:bCs/>
          <w:szCs w:val="24"/>
        </w:rPr>
        <w:t xml:space="preserve">the shareholder </w:t>
      </w:r>
      <w:r w:rsidR="008F2A05" w:rsidRPr="00611D48">
        <w:rPr>
          <w:bCs/>
          <w:szCs w:val="24"/>
        </w:rPr>
        <w:t>votes would have no legal effect</w:t>
      </w:r>
      <w:r w:rsidR="000434F4">
        <w:rPr>
          <w:bCs/>
          <w:szCs w:val="24"/>
        </w:rPr>
        <w:t xml:space="preserve"> – they are not binding </w:t>
      </w:r>
      <w:r w:rsidR="000434F4">
        <w:rPr>
          <w:bCs/>
          <w:szCs w:val="24"/>
        </w:rPr>
        <w:noBreakHyphen/>
        <w:t xml:space="preserve"> </w:t>
      </w:r>
      <w:r w:rsidR="008F2A05" w:rsidRPr="00611D48">
        <w:rPr>
          <w:bCs/>
          <w:szCs w:val="24"/>
        </w:rPr>
        <w:t xml:space="preserve">a negative vote would pressure the </w:t>
      </w:r>
      <w:r w:rsidR="00C04784">
        <w:rPr>
          <w:bCs/>
          <w:szCs w:val="24"/>
        </w:rPr>
        <w:t xml:space="preserve">boards of directors and </w:t>
      </w:r>
      <w:r w:rsidR="008F2A05" w:rsidRPr="00611D48">
        <w:rPr>
          <w:bCs/>
          <w:szCs w:val="24"/>
        </w:rPr>
        <w:t xml:space="preserve">compensation committees </w:t>
      </w:r>
      <w:r w:rsidR="00C04784">
        <w:rPr>
          <w:bCs/>
          <w:szCs w:val="24"/>
        </w:rPr>
        <w:t xml:space="preserve">to </w:t>
      </w:r>
      <w:r w:rsidR="008F2A05" w:rsidRPr="00611D48">
        <w:rPr>
          <w:bCs/>
          <w:szCs w:val="24"/>
        </w:rPr>
        <w:t xml:space="preserve">develop compensation programs that are more palatable to the shareholders. </w:t>
      </w:r>
    </w:p>
    <w:p w:rsidR="008F2A05" w:rsidRDefault="000434F4" w:rsidP="008F2A05">
      <w:pPr>
        <w:overflowPunct w:val="0"/>
        <w:spacing w:line="360" w:lineRule="auto"/>
        <w:ind w:firstLine="720"/>
        <w:textAlignment w:val="baseline"/>
        <w:rPr>
          <w:bCs/>
          <w:szCs w:val="24"/>
        </w:rPr>
      </w:pPr>
      <w:r>
        <w:rPr>
          <w:bCs/>
          <w:szCs w:val="24"/>
        </w:rPr>
        <w:t>Dodd-Frank also increases disclosure for executive compensation.  In addition to disclosing the amount of compensation, which companies must do currently, the companies must disclose the median annual income of all employees and the ratio between the median compensation and the CEO compensation.</w:t>
      </w:r>
      <w:r>
        <w:rPr>
          <w:rStyle w:val="FootnoteReference"/>
          <w:bCs/>
          <w:szCs w:val="24"/>
        </w:rPr>
        <w:footnoteReference w:id="26"/>
      </w:r>
      <w:r w:rsidR="00CB614A">
        <w:rPr>
          <w:bCs/>
          <w:szCs w:val="24"/>
        </w:rPr>
        <w:t xml:space="preserve"> </w:t>
      </w:r>
    </w:p>
    <w:p w:rsidR="00CB614A" w:rsidRPr="00180F2A" w:rsidRDefault="00CB614A" w:rsidP="008F2A05">
      <w:pPr>
        <w:overflowPunct w:val="0"/>
        <w:spacing w:line="360" w:lineRule="auto"/>
        <w:ind w:firstLine="720"/>
        <w:textAlignment w:val="baseline"/>
        <w:rPr>
          <w:szCs w:val="24"/>
        </w:rPr>
      </w:pPr>
      <w:proofErr w:type="gramStart"/>
      <w:r w:rsidRPr="005223A5">
        <w:rPr>
          <w:rFonts w:eastAsia="Times New Roman"/>
          <w:i/>
          <w:szCs w:val="24"/>
        </w:rPr>
        <w:lastRenderedPageBreak/>
        <w:t>Executive Compensation in Financial Institutions</w:t>
      </w:r>
      <w:r>
        <w:rPr>
          <w:rFonts w:eastAsia="Times New Roman"/>
          <w:szCs w:val="24"/>
        </w:rPr>
        <w:t>.</w:t>
      </w:r>
      <w:proofErr w:type="gramEnd"/>
      <w:r w:rsidR="00260142">
        <w:rPr>
          <w:rStyle w:val="FootnoteReference"/>
          <w:rFonts w:eastAsia="Times New Roman"/>
          <w:szCs w:val="24"/>
        </w:rPr>
        <w:footnoteReference w:id="27"/>
      </w:r>
      <w:r>
        <w:rPr>
          <w:rFonts w:eastAsia="Times New Roman"/>
          <w:szCs w:val="24"/>
        </w:rPr>
        <w:t xml:space="preserve">  </w:t>
      </w:r>
      <w:r w:rsidR="00180F2A">
        <w:rPr>
          <w:szCs w:val="24"/>
        </w:rPr>
        <w:t xml:space="preserve">Dodd-Frank requires all </w:t>
      </w:r>
      <w:r w:rsidR="00180F2A" w:rsidRPr="00180F2A">
        <w:rPr>
          <w:szCs w:val="24"/>
        </w:rPr>
        <w:t>“covered financial institutions”</w:t>
      </w:r>
      <w:r w:rsidR="00180F2A">
        <w:rPr>
          <w:szCs w:val="24"/>
        </w:rPr>
        <w:t xml:space="preserve">, regardless of whether they are publicly held, </w:t>
      </w:r>
      <w:r w:rsidR="00180F2A" w:rsidRPr="00180F2A">
        <w:rPr>
          <w:szCs w:val="24"/>
        </w:rPr>
        <w:t xml:space="preserve">to disclose the structure of </w:t>
      </w:r>
      <w:r w:rsidR="00BE6AD7">
        <w:rPr>
          <w:szCs w:val="24"/>
        </w:rPr>
        <w:t>their</w:t>
      </w:r>
      <w:r w:rsidR="00180F2A" w:rsidRPr="00180F2A">
        <w:rPr>
          <w:szCs w:val="24"/>
        </w:rPr>
        <w:t xml:space="preserve"> incentive-based compensation arrangements</w:t>
      </w:r>
      <w:r w:rsidR="00180F2A">
        <w:rPr>
          <w:szCs w:val="24"/>
        </w:rPr>
        <w:t xml:space="preserve">, so that regulators may </w:t>
      </w:r>
      <w:r w:rsidR="00180F2A" w:rsidRPr="00180F2A">
        <w:rPr>
          <w:szCs w:val="24"/>
        </w:rPr>
        <w:t xml:space="preserve">determine whether the structures result in excessive compensation or could lead to material financial loss to the institution.  </w:t>
      </w:r>
      <w:r w:rsidR="009155E9">
        <w:rPr>
          <w:szCs w:val="24"/>
        </w:rPr>
        <w:t xml:space="preserve">The Dodd-Frank provisions are </w:t>
      </w:r>
      <w:r w:rsidR="00174F51">
        <w:rPr>
          <w:szCs w:val="24"/>
        </w:rPr>
        <w:t xml:space="preserve">similar to </w:t>
      </w:r>
      <w:r w:rsidR="009155E9">
        <w:rPr>
          <w:szCs w:val="24"/>
        </w:rPr>
        <w:t>earlier guidance from the Federal Reserve to its regulated financial institutions</w:t>
      </w:r>
      <w:r w:rsidR="00174F51">
        <w:rPr>
          <w:szCs w:val="24"/>
        </w:rPr>
        <w:t>, which stated that incentive compensation arrangements must be compatible with the institution’s risk management and supported by effective oversight from the institution’s board of directors.</w:t>
      </w:r>
      <w:r w:rsidR="00174F51">
        <w:rPr>
          <w:rStyle w:val="FootnoteReference"/>
          <w:szCs w:val="24"/>
        </w:rPr>
        <w:footnoteReference w:id="28"/>
      </w:r>
      <w:r w:rsidR="00174F51">
        <w:rPr>
          <w:szCs w:val="24"/>
        </w:rPr>
        <w:t xml:space="preserve">  </w:t>
      </w:r>
    </w:p>
    <w:p w:rsidR="008F2A05" w:rsidRDefault="008F2A05" w:rsidP="008F2A05">
      <w:pPr>
        <w:overflowPunct w:val="0"/>
        <w:spacing w:line="360" w:lineRule="auto"/>
        <w:ind w:firstLine="720"/>
        <w:textAlignment w:val="baseline"/>
        <w:rPr>
          <w:rFonts w:eastAsia="Times New Roman"/>
        </w:rPr>
      </w:pPr>
      <w:proofErr w:type="gramStart"/>
      <w:r w:rsidRPr="005223A5">
        <w:rPr>
          <w:rFonts w:eastAsia="Times New Roman"/>
          <w:i/>
        </w:rPr>
        <w:t xml:space="preserve">Proxy Access – </w:t>
      </w:r>
      <w:r w:rsidR="003A5C59">
        <w:rPr>
          <w:rFonts w:eastAsia="Times New Roman"/>
          <w:i/>
        </w:rPr>
        <w:t xml:space="preserve">Facilitating </w:t>
      </w:r>
      <w:r w:rsidRPr="005223A5">
        <w:rPr>
          <w:rFonts w:eastAsia="Times New Roman"/>
          <w:i/>
        </w:rPr>
        <w:t>Shareholder Involvement</w:t>
      </w:r>
      <w:r>
        <w:rPr>
          <w:rFonts w:eastAsia="Times New Roman"/>
        </w:rPr>
        <w:t>.</w:t>
      </w:r>
      <w:proofErr w:type="gramEnd"/>
      <w:r w:rsidR="008F1BA3">
        <w:rPr>
          <w:rStyle w:val="FootnoteReference"/>
          <w:rFonts w:eastAsia="Times New Roman"/>
        </w:rPr>
        <w:footnoteReference w:id="29"/>
      </w:r>
      <w:r>
        <w:rPr>
          <w:rFonts w:eastAsia="Times New Roman"/>
        </w:rPr>
        <w:t xml:space="preserve">  </w:t>
      </w:r>
      <w:r w:rsidR="00BF186C">
        <w:rPr>
          <w:rFonts w:eastAsia="Times New Roman"/>
        </w:rPr>
        <w:t xml:space="preserve">Expanded shareholder involvement also underlies the new “proxy access” rules.  Since few shareholders actually attend the annual shareholder meetings </w:t>
      </w:r>
      <w:r w:rsidR="00C04784">
        <w:rPr>
          <w:rFonts w:eastAsia="Times New Roman"/>
        </w:rPr>
        <w:t>of public companies</w:t>
      </w:r>
      <w:r w:rsidR="00645433">
        <w:rPr>
          <w:rFonts w:eastAsia="Times New Roman"/>
        </w:rPr>
        <w:t xml:space="preserve">, voting occurs through proxies.  Management will solicit proxies for their director nominees and other matters to be considered.  If a shareholder group wishes to advance its own director nominees or other matters, the group must </w:t>
      </w:r>
      <w:r w:rsidR="003A5C59">
        <w:rPr>
          <w:rFonts w:eastAsia="Times New Roman"/>
        </w:rPr>
        <w:t xml:space="preserve">produce and distribute its own proxy materials, the cost of which is substantial.  </w:t>
      </w:r>
      <w:r>
        <w:rPr>
          <w:rFonts w:eastAsia="Times New Roman"/>
        </w:rPr>
        <w:t>Dodd-Frank directs</w:t>
      </w:r>
      <w:r w:rsidRPr="00611D48">
        <w:rPr>
          <w:bCs/>
          <w:szCs w:val="24"/>
        </w:rPr>
        <w:t xml:space="preserve"> the SEC to develop rules </w:t>
      </w:r>
      <w:r w:rsidR="003A5C59">
        <w:rPr>
          <w:bCs/>
          <w:szCs w:val="24"/>
        </w:rPr>
        <w:t xml:space="preserve">that would allow </w:t>
      </w:r>
      <w:r w:rsidRPr="00611D48">
        <w:rPr>
          <w:szCs w:val="24"/>
        </w:rPr>
        <w:t xml:space="preserve">shareholders </w:t>
      </w:r>
      <w:r w:rsidR="003A5C59">
        <w:rPr>
          <w:szCs w:val="24"/>
        </w:rPr>
        <w:t xml:space="preserve">to nominate their own </w:t>
      </w:r>
      <w:r w:rsidR="00645433">
        <w:rPr>
          <w:szCs w:val="24"/>
        </w:rPr>
        <w:t xml:space="preserve">director </w:t>
      </w:r>
      <w:r w:rsidR="003A5C59">
        <w:rPr>
          <w:szCs w:val="24"/>
        </w:rPr>
        <w:t xml:space="preserve">candidates and include those candidates in the company’s proxy statement.  The change eliminates the need for shareholders to produce and distribute their own proxy materials. </w:t>
      </w:r>
      <w:r w:rsidR="00F540BD">
        <w:rPr>
          <w:szCs w:val="24"/>
        </w:rPr>
        <w:t xml:space="preserve"> This change is intended to make the companies – or more specifically, their boards of directors – more </w:t>
      </w:r>
      <w:r w:rsidR="004704A2">
        <w:rPr>
          <w:szCs w:val="24"/>
        </w:rPr>
        <w:t xml:space="preserve">responsive </w:t>
      </w:r>
      <w:r w:rsidR="00F540BD">
        <w:rPr>
          <w:szCs w:val="24"/>
        </w:rPr>
        <w:t xml:space="preserve">to their shareholders. </w:t>
      </w:r>
    </w:p>
    <w:p w:rsidR="00E44B48" w:rsidRDefault="00E44B48" w:rsidP="00A6041D">
      <w:pPr>
        <w:pStyle w:val="Heading4"/>
      </w:pPr>
      <w:r>
        <w:t>Overview of Federal Developments</w:t>
      </w:r>
    </w:p>
    <w:p w:rsidR="00935510" w:rsidRDefault="00CA4E5E" w:rsidP="00CA4E5E">
      <w:pPr>
        <w:overflowPunct w:val="0"/>
        <w:spacing w:line="360" w:lineRule="auto"/>
        <w:ind w:firstLine="720"/>
        <w:textAlignment w:val="baseline"/>
        <w:rPr>
          <w:rStyle w:val="apple-style-span"/>
          <w:szCs w:val="24"/>
        </w:rPr>
      </w:pPr>
      <w:r>
        <w:rPr>
          <w:rStyle w:val="apple-style-span"/>
          <w:szCs w:val="24"/>
        </w:rPr>
        <w:t xml:space="preserve">Despite its length, </w:t>
      </w:r>
      <w:r w:rsidRPr="00CA4E5E">
        <w:rPr>
          <w:rStyle w:val="apple-style-span"/>
          <w:szCs w:val="24"/>
        </w:rPr>
        <w:t xml:space="preserve">Dodd-Frank </w:t>
      </w:r>
      <w:r>
        <w:rPr>
          <w:rStyle w:val="apple-style-span"/>
          <w:szCs w:val="24"/>
        </w:rPr>
        <w:t>does not enact sweeping regulatory changes or fundamental alterations in the financial markets themselves.  The changes are at the margins</w:t>
      </w:r>
      <w:r w:rsidR="0013493B">
        <w:rPr>
          <w:rStyle w:val="apple-style-span"/>
          <w:szCs w:val="24"/>
        </w:rPr>
        <w:t>, which is perhaps to be expected</w:t>
      </w:r>
      <w:r>
        <w:rPr>
          <w:rStyle w:val="apple-style-span"/>
          <w:szCs w:val="24"/>
        </w:rPr>
        <w:t xml:space="preserve">.  </w:t>
      </w:r>
      <w:r w:rsidR="0013493B">
        <w:rPr>
          <w:rStyle w:val="apple-style-span"/>
          <w:szCs w:val="24"/>
        </w:rPr>
        <w:t xml:space="preserve">Many economists and politicians believe that </w:t>
      </w:r>
      <w:r w:rsidR="009A1193">
        <w:rPr>
          <w:rStyle w:val="apple-style-span"/>
          <w:szCs w:val="24"/>
        </w:rPr>
        <w:lastRenderedPageBreak/>
        <w:t xml:space="preserve">the financial markets are </w:t>
      </w:r>
      <w:r w:rsidR="00935510">
        <w:rPr>
          <w:rStyle w:val="apple-style-span"/>
          <w:szCs w:val="24"/>
        </w:rPr>
        <w:t xml:space="preserve">generally healthy and </w:t>
      </w:r>
      <w:r w:rsidR="009A1193">
        <w:rPr>
          <w:rStyle w:val="apple-style-span"/>
          <w:szCs w:val="24"/>
        </w:rPr>
        <w:t xml:space="preserve">largely self-regulating.  </w:t>
      </w:r>
      <w:r w:rsidR="0013493B">
        <w:rPr>
          <w:rStyle w:val="apple-style-span"/>
          <w:szCs w:val="24"/>
        </w:rPr>
        <w:t xml:space="preserve">Government involvement can suppress innovation and development and carry unintended consequences.  The markets, they argue, work better with minimal regulation.  </w:t>
      </w:r>
      <w:r w:rsidR="009A1193">
        <w:rPr>
          <w:rStyle w:val="apple-style-span"/>
          <w:szCs w:val="24"/>
        </w:rPr>
        <w:t>The</w:t>
      </w:r>
      <w:r w:rsidR="0013493B">
        <w:rPr>
          <w:rStyle w:val="apple-style-span"/>
          <w:szCs w:val="24"/>
        </w:rPr>
        <w:t xml:space="preserve"> </w:t>
      </w:r>
      <w:r w:rsidR="009A1193">
        <w:rPr>
          <w:rStyle w:val="apple-style-span"/>
          <w:szCs w:val="24"/>
        </w:rPr>
        <w:t xml:space="preserve">scope </w:t>
      </w:r>
      <w:r w:rsidR="0013493B">
        <w:rPr>
          <w:rStyle w:val="apple-style-span"/>
          <w:szCs w:val="24"/>
        </w:rPr>
        <w:t xml:space="preserve">of the financial markets also limits domestic regulation.  Many financial markets </w:t>
      </w:r>
      <w:r w:rsidR="009A1193">
        <w:rPr>
          <w:rStyle w:val="apple-style-span"/>
          <w:szCs w:val="24"/>
        </w:rPr>
        <w:t>extend beyond domestic borders</w:t>
      </w:r>
      <w:r w:rsidR="0013493B">
        <w:rPr>
          <w:rStyle w:val="apple-style-span"/>
          <w:szCs w:val="24"/>
        </w:rPr>
        <w:t xml:space="preserve"> and </w:t>
      </w:r>
      <w:r w:rsidR="00935510">
        <w:rPr>
          <w:rStyle w:val="apple-style-span"/>
          <w:szCs w:val="24"/>
        </w:rPr>
        <w:t>require international coordination</w:t>
      </w:r>
      <w:r w:rsidR="0013493B">
        <w:rPr>
          <w:rStyle w:val="apple-style-span"/>
          <w:szCs w:val="24"/>
        </w:rPr>
        <w:t xml:space="preserve"> for effective regulation</w:t>
      </w:r>
      <w:r w:rsidR="009A1193">
        <w:rPr>
          <w:rStyle w:val="apple-style-span"/>
          <w:szCs w:val="24"/>
        </w:rPr>
        <w:t xml:space="preserve">.  </w:t>
      </w:r>
      <w:r w:rsidR="008661E9">
        <w:rPr>
          <w:rStyle w:val="apple-style-span"/>
          <w:szCs w:val="24"/>
        </w:rPr>
        <w:t xml:space="preserve">Finally, the </w:t>
      </w:r>
      <w:r w:rsidR="009A1193">
        <w:rPr>
          <w:rStyle w:val="apple-style-span"/>
          <w:szCs w:val="24"/>
        </w:rPr>
        <w:t xml:space="preserve">public will rely ultimately on the markets for economic recovery.  </w:t>
      </w:r>
      <w:r w:rsidR="00935510">
        <w:rPr>
          <w:rStyle w:val="apple-style-span"/>
          <w:szCs w:val="24"/>
        </w:rPr>
        <w:t xml:space="preserve">These powerful incentives require a showing that new regulations </w:t>
      </w:r>
      <w:r w:rsidR="008661E9">
        <w:rPr>
          <w:rStyle w:val="apple-style-span"/>
          <w:szCs w:val="24"/>
        </w:rPr>
        <w:t>will do</w:t>
      </w:r>
      <w:r w:rsidR="00935510">
        <w:rPr>
          <w:rStyle w:val="apple-style-span"/>
          <w:szCs w:val="24"/>
        </w:rPr>
        <w:t xml:space="preserve"> more good than harm – a showing that for political or economic reasons can be hard to make. </w:t>
      </w:r>
    </w:p>
    <w:p w:rsidR="008661E9" w:rsidRDefault="00935510" w:rsidP="00CA4E5E">
      <w:pPr>
        <w:overflowPunct w:val="0"/>
        <w:spacing w:line="360" w:lineRule="auto"/>
        <w:ind w:firstLine="720"/>
        <w:textAlignment w:val="baseline"/>
        <w:rPr>
          <w:rStyle w:val="apple-style-span"/>
          <w:szCs w:val="24"/>
        </w:rPr>
      </w:pPr>
      <w:r>
        <w:rPr>
          <w:rStyle w:val="apple-style-span"/>
          <w:szCs w:val="24"/>
        </w:rPr>
        <w:t xml:space="preserve">Yet some changes may make a difference.  The Volker Rule limiting proprietary trading by banks </w:t>
      </w:r>
      <w:r w:rsidR="00CF2B15">
        <w:rPr>
          <w:rStyle w:val="apple-style-span"/>
          <w:szCs w:val="24"/>
        </w:rPr>
        <w:t xml:space="preserve">should reduce </w:t>
      </w:r>
      <w:r w:rsidR="0013493B">
        <w:rPr>
          <w:rStyle w:val="apple-style-span"/>
          <w:szCs w:val="24"/>
        </w:rPr>
        <w:t>the risk profiles of those institutions.  The mortgage markets –</w:t>
      </w:r>
      <w:r>
        <w:rPr>
          <w:rStyle w:val="apple-style-span"/>
          <w:szCs w:val="24"/>
        </w:rPr>
        <w:t xml:space="preserve"> </w:t>
      </w:r>
      <w:r w:rsidR="0013493B">
        <w:rPr>
          <w:rStyle w:val="apple-style-span"/>
          <w:szCs w:val="24"/>
        </w:rPr>
        <w:t xml:space="preserve">whether due to Dodd-Frank </w:t>
      </w:r>
      <w:r w:rsidR="00CF2B15">
        <w:rPr>
          <w:rStyle w:val="apple-style-span"/>
          <w:szCs w:val="24"/>
        </w:rPr>
        <w:t xml:space="preserve">or </w:t>
      </w:r>
      <w:r w:rsidR="0013493B">
        <w:rPr>
          <w:rStyle w:val="apple-style-span"/>
          <w:szCs w:val="24"/>
        </w:rPr>
        <w:t>the industry’s financial losses</w:t>
      </w:r>
      <w:r w:rsidR="00CF2B15">
        <w:rPr>
          <w:rStyle w:val="apple-style-span"/>
          <w:szCs w:val="24"/>
        </w:rPr>
        <w:t xml:space="preserve"> or both</w:t>
      </w:r>
      <w:r w:rsidR="0013493B">
        <w:rPr>
          <w:rStyle w:val="apple-style-span"/>
          <w:szCs w:val="24"/>
        </w:rPr>
        <w:t xml:space="preserve"> – </w:t>
      </w:r>
      <w:r w:rsidR="00225004">
        <w:rPr>
          <w:rStyle w:val="apple-style-span"/>
          <w:szCs w:val="24"/>
        </w:rPr>
        <w:t xml:space="preserve">are unlikely to </w:t>
      </w:r>
      <w:r w:rsidR="0013493B">
        <w:rPr>
          <w:rStyle w:val="apple-style-span"/>
          <w:szCs w:val="24"/>
        </w:rPr>
        <w:t xml:space="preserve">return to the risky and abusive lending practices of the past. </w:t>
      </w:r>
    </w:p>
    <w:p w:rsidR="00CA4E5E" w:rsidRPr="00CA4E5E" w:rsidRDefault="008661E9" w:rsidP="00CA4E5E">
      <w:pPr>
        <w:overflowPunct w:val="0"/>
        <w:spacing w:line="360" w:lineRule="auto"/>
        <w:ind w:firstLine="720"/>
        <w:textAlignment w:val="baseline"/>
        <w:rPr>
          <w:rStyle w:val="apple-style-span"/>
          <w:szCs w:val="24"/>
        </w:rPr>
      </w:pPr>
      <w:r>
        <w:rPr>
          <w:rStyle w:val="apple-style-span"/>
          <w:szCs w:val="24"/>
        </w:rPr>
        <w:t xml:space="preserve">Perhaps the most notable development with Dodd-Frank is its reach.  If the changes are not deep, they are broad.  Dodd-Frank touches upon virtually every corner of the financial markets, from investment banking to auto loans and credit cards, from residential mortgages to hedge funds, and from executive compensation to consumer credit counseling.  The willingness to reach into these corners perpetuates a trend that we have noted before:  the shift of </w:t>
      </w:r>
      <w:r w:rsidR="009F4385">
        <w:rPr>
          <w:rStyle w:val="apple-style-span"/>
          <w:szCs w:val="24"/>
        </w:rPr>
        <w:t>corporate and financial regulation from the states to the Federal government.</w:t>
      </w:r>
      <w:r w:rsidR="009F4385">
        <w:rPr>
          <w:rStyle w:val="FootnoteReference"/>
        </w:rPr>
        <w:footnoteReference w:id="30"/>
      </w:r>
    </w:p>
    <w:p w:rsidR="00331B18" w:rsidRPr="00AB5193" w:rsidRDefault="00331B18" w:rsidP="00A6041D">
      <w:pPr>
        <w:pStyle w:val="Heading3"/>
        <w:rPr>
          <w:rFonts w:eastAsia="Times New Roman"/>
        </w:rPr>
      </w:pPr>
      <w:r w:rsidRPr="00AB5193">
        <w:rPr>
          <w:rFonts w:eastAsia="Times New Roman"/>
        </w:rPr>
        <w:t>Oklahoma Developments</w:t>
      </w:r>
    </w:p>
    <w:p w:rsidR="00331B18" w:rsidRPr="00AB5193" w:rsidRDefault="00331B18" w:rsidP="00D454B8">
      <w:pPr>
        <w:pStyle w:val="Heading4"/>
        <w:spacing w:before="0"/>
        <w:rPr>
          <w:rFonts w:eastAsia="Times New Roman"/>
        </w:rPr>
      </w:pPr>
      <w:r w:rsidRPr="00AB5193">
        <w:rPr>
          <w:rFonts w:eastAsia="Times New Roman"/>
        </w:rPr>
        <w:t>Legislati</w:t>
      </w:r>
      <w:r w:rsidR="00F9444C">
        <w:rPr>
          <w:rFonts w:eastAsia="Times New Roman"/>
        </w:rPr>
        <w:t>on</w:t>
      </w:r>
      <w:r w:rsidRPr="00AB5193">
        <w:rPr>
          <w:rFonts w:eastAsia="Times New Roman"/>
        </w:rPr>
        <w:t xml:space="preserve"> </w:t>
      </w:r>
      <w:r w:rsidR="00C36F57">
        <w:rPr>
          <w:rFonts w:eastAsia="Times New Roman"/>
        </w:rPr>
        <w:noBreakHyphen/>
        <w:t xml:space="preserve"> t</w:t>
      </w:r>
      <w:r w:rsidR="00C36F57" w:rsidRPr="00A43511">
        <w:t xml:space="preserve">he Uniform Limited </w:t>
      </w:r>
      <w:r w:rsidR="009F4385">
        <w:t xml:space="preserve">Partnership </w:t>
      </w:r>
      <w:r w:rsidR="00C36F57" w:rsidRPr="00A43511">
        <w:t>Act</w:t>
      </w:r>
    </w:p>
    <w:p w:rsidR="008D5FEB" w:rsidRPr="00AB5193" w:rsidRDefault="00331B18" w:rsidP="00D454B8">
      <w:pPr>
        <w:overflowPunct w:val="0"/>
        <w:spacing w:before="240" w:line="360" w:lineRule="auto"/>
        <w:ind w:firstLine="720"/>
        <w:textAlignment w:val="baseline"/>
        <w:rPr>
          <w:rFonts w:eastAsia="Times New Roman"/>
        </w:rPr>
      </w:pPr>
      <w:r>
        <w:rPr>
          <w:rFonts w:eastAsia="Times New Roman"/>
        </w:rPr>
        <w:t>T</w:t>
      </w:r>
      <w:r w:rsidRPr="00AB5193">
        <w:rPr>
          <w:rFonts w:eastAsia="Times New Roman"/>
        </w:rPr>
        <w:t xml:space="preserve">he Oklahoma Legislature </w:t>
      </w:r>
      <w:r>
        <w:rPr>
          <w:rFonts w:eastAsia="Times New Roman"/>
        </w:rPr>
        <w:t xml:space="preserve">passed and the Governor signed </w:t>
      </w:r>
      <w:r w:rsidR="00C36F57">
        <w:rPr>
          <w:rFonts w:eastAsia="Times New Roman"/>
        </w:rPr>
        <w:t>t</w:t>
      </w:r>
      <w:r w:rsidR="00C36F57" w:rsidRPr="00A43511">
        <w:rPr>
          <w:color w:val="000000"/>
        </w:rPr>
        <w:t xml:space="preserve">he Uniform Limited </w:t>
      </w:r>
      <w:r w:rsidR="009F4385">
        <w:rPr>
          <w:color w:val="000000"/>
        </w:rPr>
        <w:t xml:space="preserve">Partnership </w:t>
      </w:r>
      <w:r w:rsidR="00C36F57" w:rsidRPr="00A43511">
        <w:rPr>
          <w:color w:val="000000"/>
        </w:rPr>
        <w:t xml:space="preserve">Act </w:t>
      </w:r>
      <w:r w:rsidR="004A47B5">
        <w:rPr>
          <w:color w:val="000000"/>
        </w:rPr>
        <w:t xml:space="preserve">of 2010 </w:t>
      </w:r>
      <w:r w:rsidR="00C36F57" w:rsidRPr="00A43511">
        <w:rPr>
          <w:color w:val="000000"/>
        </w:rPr>
        <w:t>(</w:t>
      </w:r>
      <w:r w:rsidR="00C36F57">
        <w:rPr>
          <w:color w:val="000000"/>
        </w:rPr>
        <w:t>“</w:t>
      </w:r>
      <w:r w:rsidR="00C36F57" w:rsidRPr="00C36F57">
        <w:rPr>
          <w:i/>
          <w:color w:val="000000"/>
        </w:rPr>
        <w:t>UL</w:t>
      </w:r>
      <w:r w:rsidR="009F4385">
        <w:rPr>
          <w:i/>
          <w:color w:val="000000"/>
        </w:rPr>
        <w:t>P</w:t>
      </w:r>
      <w:r w:rsidR="00C36F57" w:rsidRPr="00C36F57">
        <w:rPr>
          <w:i/>
          <w:color w:val="000000"/>
        </w:rPr>
        <w:t>A</w:t>
      </w:r>
      <w:r w:rsidR="00C36F57">
        <w:rPr>
          <w:color w:val="000000"/>
        </w:rPr>
        <w:t>”</w:t>
      </w:r>
      <w:r w:rsidR="00C36F57" w:rsidRPr="00A43511">
        <w:rPr>
          <w:color w:val="000000"/>
        </w:rPr>
        <w:t>)</w:t>
      </w:r>
      <w:r>
        <w:rPr>
          <w:rFonts w:eastAsia="Times New Roman"/>
        </w:rPr>
        <w:t>.</w:t>
      </w:r>
      <w:r w:rsidR="00BC031A">
        <w:rPr>
          <w:rStyle w:val="FootnoteReference"/>
          <w:rFonts w:eastAsia="Times New Roman"/>
        </w:rPr>
        <w:footnoteReference w:id="31"/>
      </w:r>
      <w:r>
        <w:rPr>
          <w:rFonts w:eastAsia="Times New Roman"/>
        </w:rPr>
        <w:t xml:space="preserve"> </w:t>
      </w:r>
      <w:r w:rsidR="00C36F57">
        <w:rPr>
          <w:rFonts w:eastAsia="Times New Roman"/>
        </w:rPr>
        <w:t xml:space="preserve"> </w:t>
      </w:r>
      <w:r w:rsidR="008D5FEB" w:rsidRPr="00AB5193">
        <w:rPr>
          <w:rFonts w:eastAsia="Times New Roman"/>
        </w:rPr>
        <w:t xml:space="preserve">ULPA </w:t>
      </w:r>
      <w:r w:rsidR="00F86487">
        <w:rPr>
          <w:rFonts w:eastAsia="Times New Roman"/>
        </w:rPr>
        <w:t>becomes effective January 1, 2011</w:t>
      </w:r>
      <w:r w:rsidR="003026A0">
        <w:rPr>
          <w:rFonts w:eastAsia="Times New Roman"/>
        </w:rPr>
        <w:t>.</w:t>
      </w:r>
      <w:r w:rsidR="003026A0">
        <w:rPr>
          <w:rStyle w:val="FootnoteReference"/>
          <w:rFonts w:eastAsia="Times New Roman"/>
        </w:rPr>
        <w:footnoteReference w:id="32"/>
      </w:r>
      <w:r w:rsidR="003026A0">
        <w:rPr>
          <w:rFonts w:eastAsia="Times New Roman"/>
        </w:rPr>
        <w:t xml:space="preserve">  It </w:t>
      </w:r>
      <w:r w:rsidR="008D5FEB" w:rsidRPr="00AB5193">
        <w:rPr>
          <w:rFonts w:eastAsia="Times New Roman"/>
        </w:rPr>
        <w:lastRenderedPageBreak/>
        <w:t>replace</w:t>
      </w:r>
      <w:r w:rsidR="008D5FEB">
        <w:rPr>
          <w:rFonts w:eastAsia="Times New Roman"/>
        </w:rPr>
        <w:t>s</w:t>
      </w:r>
      <w:r w:rsidR="008D5FEB" w:rsidRPr="00AB5193">
        <w:rPr>
          <w:rFonts w:eastAsia="Times New Roman"/>
        </w:rPr>
        <w:t xml:space="preserve"> the present </w:t>
      </w:r>
      <w:r w:rsidR="00B77B38">
        <w:rPr>
          <w:rFonts w:eastAsia="Times New Roman"/>
        </w:rPr>
        <w:t>Revised Uniform Limited Partnership Act (“</w:t>
      </w:r>
      <w:r w:rsidR="008D5FEB" w:rsidRPr="00B77B38">
        <w:rPr>
          <w:rFonts w:eastAsia="Times New Roman"/>
          <w:i/>
        </w:rPr>
        <w:t>RULPA</w:t>
      </w:r>
      <w:r w:rsidR="00B77B38">
        <w:rPr>
          <w:rFonts w:eastAsia="Times New Roman"/>
        </w:rPr>
        <w:t>”)</w:t>
      </w:r>
      <w:r w:rsidR="008D5FEB" w:rsidRPr="00AB5193">
        <w:rPr>
          <w:rFonts w:eastAsia="Times New Roman"/>
        </w:rPr>
        <w:t>, which was adopted in 1976.</w:t>
      </w:r>
      <w:r w:rsidR="007D62D6">
        <w:rPr>
          <w:rStyle w:val="FootnoteReference"/>
          <w:rFonts w:eastAsia="Times New Roman"/>
        </w:rPr>
        <w:footnoteReference w:id="33"/>
      </w:r>
      <w:r w:rsidR="008D5FEB" w:rsidRPr="00AB5193">
        <w:rPr>
          <w:rFonts w:eastAsia="Times New Roman"/>
        </w:rPr>
        <w:t xml:space="preserve"> </w:t>
      </w:r>
      <w:r w:rsidR="008D5FEB">
        <w:rPr>
          <w:rFonts w:eastAsia="Times New Roman"/>
        </w:rPr>
        <w:t xml:space="preserve"> </w:t>
      </w:r>
      <w:r w:rsidR="008D5FEB" w:rsidRPr="00AB5193">
        <w:rPr>
          <w:rFonts w:eastAsia="Times New Roman"/>
        </w:rPr>
        <w:t xml:space="preserve">While RULPA </w:t>
      </w:r>
      <w:r w:rsidR="00D167DB">
        <w:rPr>
          <w:rFonts w:eastAsia="Times New Roman"/>
        </w:rPr>
        <w:t>was</w:t>
      </w:r>
      <w:r w:rsidR="008D5FEB" w:rsidRPr="00AB5193">
        <w:rPr>
          <w:rFonts w:eastAsia="Times New Roman"/>
        </w:rPr>
        <w:t xml:space="preserve"> regularly updated, including the addition of merger and conversion provisions, ULPA represent</w:t>
      </w:r>
      <w:r w:rsidR="008D5FEB">
        <w:rPr>
          <w:rFonts w:eastAsia="Times New Roman"/>
        </w:rPr>
        <w:t>s</w:t>
      </w:r>
      <w:r w:rsidR="008D5FEB" w:rsidRPr="00AB5193">
        <w:rPr>
          <w:rFonts w:eastAsia="Times New Roman"/>
        </w:rPr>
        <w:t xml:space="preserve"> a more fundamental change.  It presumes that limited partnerships are best suited for those wanting strong, centralized management and passive investment participation.  ULPA is also more compatible with the estate planning needs of family limited partnerships.</w:t>
      </w:r>
      <w:r w:rsidR="00B77B38" w:rsidRPr="00AB5193">
        <w:rPr>
          <w:rFonts w:eastAsia="Times New Roman"/>
          <w:sz w:val="20"/>
          <w:vertAlign w:val="superscript"/>
        </w:rPr>
        <w:footnoteReference w:id="34"/>
      </w:r>
      <w:r w:rsidR="008D5FEB" w:rsidRPr="00AB5193">
        <w:rPr>
          <w:rFonts w:eastAsia="Times New Roman"/>
        </w:rPr>
        <w:t xml:space="preserve"> </w:t>
      </w:r>
    </w:p>
    <w:p w:rsidR="00BC72E8" w:rsidRDefault="00751822" w:rsidP="00BC72E8">
      <w:pPr>
        <w:spacing w:line="360" w:lineRule="auto"/>
        <w:ind w:firstLine="720"/>
      </w:pPr>
      <w:r>
        <w:rPr>
          <w:rFonts w:eastAsia="Times New Roman"/>
          <w:i/>
        </w:rPr>
        <w:t>ULPA’s Notable Features</w:t>
      </w:r>
      <w:r>
        <w:rPr>
          <w:rFonts w:eastAsia="Times New Roman"/>
        </w:rPr>
        <w:t xml:space="preserve">.  </w:t>
      </w:r>
      <w:r w:rsidR="00364C8A">
        <w:t>ULPA</w:t>
      </w:r>
      <w:r w:rsidR="006D49D5">
        <w:t xml:space="preserve"> is longer and more complex than </w:t>
      </w:r>
      <w:r w:rsidR="00364C8A">
        <w:t>RULPA</w:t>
      </w:r>
      <w:r w:rsidR="006D49D5">
        <w:t xml:space="preserve"> it replaces in part because </w:t>
      </w:r>
      <w:r w:rsidR="00364C8A">
        <w:t>ULPA</w:t>
      </w:r>
      <w:r w:rsidR="006D49D5">
        <w:t xml:space="preserve"> is a “stand alone” act.  RULPA incorporated many of the provisions of the Revised Uniform Partnership Act</w:t>
      </w:r>
      <w:r w:rsidR="00DC4687">
        <w:t xml:space="preserve"> (“</w:t>
      </w:r>
      <w:r w:rsidR="00DC4687" w:rsidRPr="00DC4687">
        <w:rPr>
          <w:i/>
        </w:rPr>
        <w:t>RUPA</w:t>
      </w:r>
      <w:r w:rsidR="00DC4687">
        <w:t>”)</w:t>
      </w:r>
      <w:r w:rsidR="006D49D5">
        <w:t>,</w:t>
      </w:r>
      <w:r w:rsidR="00DC4687">
        <w:rPr>
          <w:rStyle w:val="FootnoteReference"/>
        </w:rPr>
        <w:footnoteReference w:id="35"/>
      </w:r>
      <w:r w:rsidR="006D49D5">
        <w:t xml:space="preserve"> which meant that one must consider both acts to understand the one.</w:t>
      </w:r>
      <w:r w:rsidR="00DC4687">
        <w:rPr>
          <w:rStyle w:val="FootnoteReference"/>
        </w:rPr>
        <w:footnoteReference w:id="36"/>
      </w:r>
      <w:r w:rsidR="006D49D5">
        <w:t xml:space="preserve">  </w:t>
      </w:r>
      <w:r w:rsidR="00364C8A">
        <w:t>ULPA</w:t>
      </w:r>
      <w:r w:rsidR="006D49D5">
        <w:t xml:space="preserve"> does not incorporate provisions of the </w:t>
      </w:r>
      <w:r w:rsidR="00DC4687">
        <w:t>R</w:t>
      </w:r>
      <w:r w:rsidR="006D49D5">
        <w:t>UPA</w:t>
      </w:r>
      <w:r w:rsidR="0012436E">
        <w:t xml:space="preserve"> and as a result is longer tha</w:t>
      </w:r>
      <w:r w:rsidR="00364C8A">
        <w:t>n</w:t>
      </w:r>
      <w:r w:rsidR="0012436E">
        <w:t xml:space="preserve"> </w:t>
      </w:r>
      <w:r w:rsidR="00364C8A">
        <w:t>RULPA</w:t>
      </w:r>
      <w:r w:rsidR="006D49D5">
        <w:t xml:space="preserve">. </w:t>
      </w:r>
      <w:r w:rsidR="00DC4687">
        <w:t xml:space="preserve"> </w:t>
      </w:r>
    </w:p>
    <w:p w:rsidR="00951E03" w:rsidRDefault="00D552BE" w:rsidP="00BC72E8">
      <w:pPr>
        <w:spacing w:line="360" w:lineRule="auto"/>
        <w:ind w:firstLine="720"/>
      </w:pPr>
      <w:r>
        <w:t xml:space="preserve">Perhaps </w:t>
      </w:r>
      <w:r w:rsidR="00364C8A">
        <w:t>ULPA</w:t>
      </w:r>
      <w:r>
        <w:t xml:space="preserve">’s most important </w:t>
      </w:r>
      <w:r w:rsidRPr="003744FB">
        <w:t xml:space="preserve">features are changes in the liability regime for both </w:t>
      </w:r>
      <w:r>
        <w:t xml:space="preserve">general and </w:t>
      </w:r>
      <w:r w:rsidRPr="003744FB">
        <w:t xml:space="preserve">limited partners.  General partners can be shielded </w:t>
      </w:r>
      <w:r>
        <w:t xml:space="preserve">from </w:t>
      </w:r>
      <w:r w:rsidR="002749BF">
        <w:t xml:space="preserve">unlimited </w:t>
      </w:r>
      <w:r>
        <w:lastRenderedPageBreak/>
        <w:t xml:space="preserve">liability </w:t>
      </w:r>
      <w:r w:rsidRPr="003744FB">
        <w:t xml:space="preserve">if the </w:t>
      </w:r>
      <w:r>
        <w:t xml:space="preserve">limited partnership </w:t>
      </w:r>
      <w:r w:rsidRPr="003744FB">
        <w:t xml:space="preserve">elects limited liability limited partnership </w:t>
      </w:r>
      <w:r>
        <w:t>or LLLP (pronounced “</w:t>
      </w:r>
      <w:r w:rsidRPr="00D552BE">
        <w:rPr>
          <w:i/>
        </w:rPr>
        <w:t>triple LP</w:t>
      </w:r>
      <w:r>
        <w:t xml:space="preserve">”) </w:t>
      </w:r>
      <w:r w:rsidRPr="003744FB">
        <w:t>status</w:t>
      </w:r>
      <w:r>
        <w:t>.</w:t>
      </w:r>
      <w:r w:rsidR="00A0302F">
        <w:rPr>
          <w:rStyle w:val="FootnoteReference"/>
        </w:rPr>
        <w:footnoteReference w:id="37"/>
      </w:r>
      <w:r w:rsidR="006D6905">
        <w:t xml:space="preserve">  </w:t>
      </w:r>
      <w:r w:rsidR="00826006">
        <w:t xml:space="preserve">A </w:t>
      </w:r>
      <w:r w:rsidR="006D6905">
        <w:t xml:space="preserve">limited partnership </w:t>
      </w:r>
      <w:r w:rsidR="00826006">
        <w:t xml:space="preserve">becomes </w:t>
      </w:r>
      <w:r w:rsidR="00B91A2E">
        <w:t>a LLLP</w:t>
      </w:r>
      <w:r w:rsidR="00826006">
        <w:t xml:space="preserve"> by stating in </w:t>
      </w:r>
      <w:r w:rsidR="006D6905">
        <w:t>its certificate of limited partnership</w:t>
      </w:r>
      <w:r w:rsidR="00826006">
        <w:t xml:space="preserve"> that it is </w:t>
      </w:r>
      <w:r w:rsidR="00B91A2E">
        <w:t>a LLLP</w:t>
      </w:r>
      <w:r w:rsidR="006D6905">
        <w:t xml:space="preserve">.  </w:t>
      </w:r>
      <w:r w:rsidR="00826006">
        <w:t>It</w:t>
      </w:r>
      <w:r w:rsidR="0085483A">
        <w:t>s</w:t>
      </w:r>
      <w:r w:rsidR="00826006">
        <w:t xml:space="preserve"> name must also use </w:t>
      </w:r>
      <w:r w:rsidR="00826006" w:rsidRPr="00826006">
        <w:t>the phrase “limited liability limited partnership” or the abbreviation “LLLP” or “L.L.L.P.” and must not contain the abbreviation “L.P.” or “LP</w:t>
      </w:r>
      <w:r w:rsidR="00826006">
        <w:t>”</w:t>
      </w:r>
      <w:r w:rsidR="00826006" w:rsidRPr="00826006">
        <w:t>.</w:t>
      </w:r>
      <w:r>
        <w:rPr>
          <w:rStyle w:val="FootnoteReference"/>
        </w:rPr>
        <w:footnoteReference w:id="38"/>
      </w:r>
      <w:r w:rsidR="00826006">
        <w:t xml:space="preserve">  </w:t>
      </w:r>
      <w:r w:rsidR="006D6905">
        <w:t xml:space="preserve">Existing limited partnerships may amend their certificates to elect LLLP status.  </w:t>
      </w:r>
      <w:r w:rsidR="002749BF">
        <w:t xml:space="preserve">New limited partnerships would presumably make the LLLP election since there is no cost to do so.  The extent to which existing limited partnerships will make the election is uncertain.  General partners are typically created as limited liability entities to limit their exposure.  The LLLP election would add another layer of protection at the cost of preparing and filing the amendment. </w:t>
      </w:r>
    </w:p>
    <w:p w:rsidR="00751E89" w:rsidRDefault="002449BA" w:rsidP="00751E89">
      <w:pPr>
        <w:spacing w:line="360" w:lineRule="auto"/>
        <w:ind w:firstLine="720"/>
      </w:pPr>
      <w:r>
        <w:t xml:space="preserve">As the </w:t>
      </w:r>
      <w:r w:rsidR="00751E89">
        <w:t xml:space="preserve">liability loop is closed </w:t>
      </w:r>
      <w:r>
        <w:t xml:space="preserve">for </w:t>
      </w:r>
      <w:r w:rsidR="00F22F2E">
        <w:t>general partner</w:t>
      </w:r>
      <w:r>
        <w:t xml:space="preserve">s with the LLLP election, the liability loop for </w:t>
      </w:r>
      <w:r w:rsidR="002749BF">
        <w:t xml:space="preserve">limited partners </w:t>
      </w:r>
      <w:r>
        <w:t xml:space="preserve">is closed </w:t>
      </w:r>
      <w:r w:rsidR="00751E89">
        <w:t xml:space="preserve">with </w:t>
      </w:r>
      <w:r w:rsidR="00364C8A">
        <w:t>ULPA</w:t>
      </w:r>
      <w:r w:rsidR="00751E89">
        <w:t>’s elimination of the “control rule”</w:t>
      </w:r>
      <w:r>
        <w:t xml:space="preserve">.  The control rule </w:t>
      </w:r>
      <w:r w:rsidR="00751E89">
        <w:t>held that a limited partner could lose its limited liability if it participates in control of the partnership’s business.</w:t>
      </w:r>
      <w:r w:rsidR="00751E89">
        <w:rPr>
          <w:rStyle w:val="FootnoteReference"/>
        </w:rPr>
        <w:footnoteReference w:id="39"/>
      </w:r>
      <w:r w:rsidR="00751E89">
        <w:t xml:space="preserve">  The control rule was much criticized for the uncertainty that it fostered</w:t>
      </w:r>
      <w:r w:rsidR="002749BF">
        <w:t>, even if RULPA attempted to reduce the uncertainty with a list of activities that did not constitute participation in control.</w:t>
      </w:r>
      <w:r w:rsidR="005C6CE3">
        <w:rPr>
          <w:rStyle w:val="FootnoteReference"/>
        </w:rPr>
        <w:footnoteReference w:id="40"/>
      </w:r>
      <w:r w:rsidR="002749BF">
        <w:t xml:space="preserve">  </w:t>
      </w:r>
      <w:r w:rsidR="005C6CE3">
        <w:t xml:space="preserve">By shielding general partners and eliminating the control rule for limited partners, limited partnerships now possess a </w:t>
      </w:r>
      <w:r w:rsidR="005D6362">
        <w:t xml:space="preserve">complete </w:t>
      </w:r>
      <w:r w:rsidR="005C6CE3">
        <w:t xml:space="preserve">liability regime like that of LLCs and corporations. </w:t>
      </w:r>
    </w:p>
    <w:p w:rsidR="002B003F" w:rsidRPr="00361961" w:rsidRDefault="00F22F2E" w:rsidP="00BC72E8">
      <w:pPr>
        <w:spacing w:line="360" w:lineRule="auto"/>
        <w:ind w:firstLine="720"/>
      </w:pPr>
      <w:r>
        <w:t>Another notable change is ULPA</w:t>
      </w:r>
      <w:r w:rsidR="002178AA">
        <w:t>’s</w:t>
      </w:r>
      <w:r>
        <w:t xml:space="preserve"> elimination of the</w:t>
      </w:r>
      <w:r w:rsidR="002B003F" w:rsidRPr="00361961">
        <w:t xml:space="preserve"> old business purpose</w:t>
      </w:r>
      <w:r w:rsidRPr="00F22F2E">
        <w:t xml:space="preserve"> </w:t>
      </w:r>
      <w:r>
        <w:t xml:space="preserve">requirement in favor of any </w:t>
      </w:r>
      <w:r w:rsidRPr="00361961">
        <w:t>legal purpose</w:t>
      </w:r>
      <w:r w:rsidR="002B003F" w:rsidRPr="00361961">
        <w:t>.</w:t>
      </w:r>
      <w:r w:rsidR="00863F62" w:rsidRPr="00361961">
        <w:t xml:space="preserve">  </w:t>
      </w:r>
      <w:r>
        <w:t xml:space="preserve">RULPA provided that a limited partnership </w:t>
      </w:r>
      <w:r w:rsidR="00863F62" w:rsidRPr="00361961">
        <w:t>may carry on any business that a partnership w</w:t>
      </w:r>
      <w:r w:rsidR="00301840">
        <w:t>ithout</w:t>
      </w:r>
      <w:r w:rsidR="00863F62" w:rsidRPr="00361961">
        <w:t xml:space="preserve"> </w:t>
      </w:r>
      <w:r>
        <w:t>limited partners</w:t>
      </w:r>
      <w:r w:rsidR="00863F62" w:rsidRPr="00361961">
        <w:t xml:space="preserve"> may carry on.</w:t>
      </w:r>
      <w:r w:rsidR="00395594">
        <w:rPr>
          <w:rStyle w:val="FootnoteReference"/>
        </w:rPr>
        <w:footnoteReference w:id="41"/>
      </w:r>
      <w:r w:rsidR="00863F62" w:rsidRPr="00361961">
        <w:t xml:space="preserve">  RUPA defines a [general] partnership as </w:t>
      </w:r>
      <w:r w:rsidR="002178AA">
        <w:t xml:space="preserve">an </w:t>
      </w:r>
      <w:r w:rsidR="00863F62" w:rsidRPr="00361961">
        <w:t xml:space="preserve">“association of two or more persons to carry </w:t>
      </w:r>
      <w:r w:rsidR="00863F62" w:rsidRPr="00361961">
        <w:lastRenderedPageBreak/>
        <w:t xml:space="preserve">on as co-owners a business for profit </w:t>
      </w:r>
      <w:proofErr w:type="gramStart"/>
      <w:r w:rsidR="00863F62" w:rsidRPr="00361961">
        <w:t>. . ..”</w:t>
      </w:r>
      <w:proofErr w:type="gramEnd"/>
      <w:r w:rsidR="00407DE3">
        <w:rPr>
          <w:rStyle w:val="FootnoteReference"/>
        </w:rPr>
        <w:footnoteReference w:id="42"/>
      </w:r>
      <w:r w:rsidR="00407DE3">
        <w:t xml:space="preserve"> </w:t>
      </w:r>
      <w:r w:rsidR="00863F62" w:rsidRPr="00361961">
        <w:t xml:space="preserve"> </w:t>
      </w:r>
      <w:r w:rsidR="00301840">
        <w:t xml:space="preserve">Read together, RULPA and RUPA required that a limited partnership have a business purpose.  ULPA requires that a limited partnership may be formed </w:t>
      </w:r>
      <w:r w:rsidR="00863F62" w:rsidRPr="00361961">
        <w:t>“for any lawful purpose.”</w:t>
      </w:r>
      <w:r w:rsidR="00407DE3">
        <w:rPr>
          <w:rStyle w:val="FootnoteReference"/>
        </w:rPr>
        <w:footnoteReference w:id="43"/>
      </w:r>
      <w:r w:rsidR="00407DE3">
        <w:t xml:space="preserve"> </w:t>
      </w:r>
      <w:r w:rsidR="00863F62" w:rsidRPr="00361961">
        <w:t xml:space="preserve"> </w:t>
      </w:r>
      <w:r w:rsidR="00B30D85">
        <w:t>The change conforms to the requirements for LLCs and can be useful.</w:t>
      </w:r>
      <w:r w:rsidR="002178AA">
        <w:rPr>
          <w:rStyle w:val="FootnoteReference"/>
        </w:rPr>
        <w:footnoteReference w:id="44"/>
      </w:r>
      <w:r w:rsidR="00B30D85">
        <w:t xml:space="preserve">  For example, a family owning a vacation home or a boat could place the property in a limited partnership without jeopardizing the partnership’s formation.  Non-profit corporations could use limited partnerships in joint ventures with for-profit entities without similar concerns.</w:t>
      </w:r>
      <w:r w:rsidR="00361961">
        <w:rPr>
          <w:rStyle w:val="FootnoteReference"/>
        </w:rPr>
        <w:footnoteReference w:id="45"/>
      </w:r>
      <w:r w:rsidR="00FD1A75" w:rsidRPr="00361961">
        <w:t xml:space="preserve">  </w:t>
      </w:r>
    </w:p>
    <w:p w:rsidR="00B95F46" w:rsidRPr="002B003F" w:rsidRDefault="00364C8A" w:rsidP="00BC72E8">
      <w:pPr>
        <w:spacing w:line="360" w:lineRule="auto"/>
        <w:ind w:firstLine="720"/>
      </w:pPr>
      <w:r>
        <w:t>ULPA</w:t>
      </w:r>
      <w:r w:rsidR="00642825">
        <w:t xml:space="preserve">’s </w:t>
      </w:r>
      <w:r w:rsidR="007C7336" w:rsidRPr="002B003F">
        <w:t xml:space="preserve">provisions </w:t>
      </w:r>
      <w:r w:rsidR="00642825">
        <w:t xml:space="preserve">dealing with partnership dissolution are much more detailed that RULPA’s provisions.  For example, ULPA </w:t>
      </w:r>
      <w:r w:rsidR="007C7336" w:rsidRPr="002B003F">
        <w:t>provid</w:t>
      </w:r>
      <w:r w:rsidR="00350898">
        <w:t>es</w:t>
      </w:r>
      <w:r w:rsidR="007C7336" w:rsidRPr="002B003F">
        <w:t xml:space="preserve"> </w:t>
      </w:r>
      <w:r w:rsidR="00642825">
        <w:t xml:space="preserve">that a limited partnership may </w:t>
      </w:r>
      <w:r w:rsidR="002B003F">
        <w:t xml:space="preserve">amend its certificate of </w:t>
      </w:r>
      <w:r w:rsidR="00642825">
        <w:t xml:space="preserve">limited partnership to announce its dissolution and may file a </w:t>
      </w:r>
      <w:r w:rsidR="002B003F">
        <w:t>statement of cessation</w:t>
      </w:r>
      <w:r w:rsidR="00642825">
        <w:t xml:space="preserve"> when the winding up is finished.</w:t>
      </w:r>
      <w:r w:rsidR="00642825">
        <w:rPr>
          <w:rStyle w:val="FootnoteReference"/>
        </w:rPr>
        <w:footnoteReference w:id="46"/>
      </w:r>
      <w:r w:rsidR="00642825">
        <w:t xml:space="preserve">  </w:t>
      </w:r>
      <w:r w:rsidR="003270C9">
        <w:t xml:space="preserve">The uniform version of </w:t>
      </w:r>
      <w:r w:rsidR="00642825">
        <w:t>RULPA had no provision</w:t>
      </w:r>
      <w:r w:rsidR="00350898">
        <w:t>s</w:t>
      </w:r>
      <w:r w:rsidR="00642825">
        <w:t xml:space="preserve"> for </w:t>
      </w:r>
      <w:r w:rsidR="00350898">
        <w:t xml:space="preserve">announcing </w:t>
      </w:r>
      <w:proofErr w:type="gramStart"/>
      <w:r w:rsidR="00350898">
        <w:t xml:space="preserve">a </w:t>
      </w:r>
      <w:r w:rsidR="00642825">
        <w:t>dissolution</w:t>
      </w:r>
      <w:proofErr w:type="gramEnd"/>
      <w:r w:rsidR="00642825">
        <w:t>.</w:t>
      </w:r>
      <w:r w:rsidR="005463FA">
        <w:rPr>
          <w:rStyle w:val="FootnoteReference"/>
        </w:rPr>
        <w:footnoteReference w:id="47"/>
      </w:r>
      <w:r w:rsidR="00642825">
        <w:t xml:space="preserve">  </w:t>
      </w:r>
      <w:r w:rsidR="003270C9">
        <w:t xml:space="preserve">The Oklahoma version of RULPA </w:t>
      </w:r>
      <w:r w:rsidR="00090E4A">
        <w:t>was amended to provide a certificate of cancellation to be filed upon the dissolution or conversion of a limited partnership</w:t>
      </w:r>
      <w:r w:rsidR="002178AA">
        <w:t xml:space="preserve">, but the provisions are not as </w:t>
      </w:r>
      <w:r w:rsidR="002178AA">
        <w:lastRenderedPageBreak/>
        <w:t>comprehensive as the ULPA provisions</w:t>
      </w:r>
      <w:r w:rsidR="00090E4A">
        <w:t>.</w:t>
      </w:r>
      <w:r w:rsidR="00090E4A">
        <w:rPr>
          <w:rStyle w:val="FootnoteReference"/>
        </w:rPr>
        <w:footnoteReference w:id="48"/>
      </w:r>
      <w:r w:rsidR="00090E4A">
        <w:t xml:space="preserve">  </w:t>
      </w:r>
      <w:r w:rsidR="00350898">
        <w:t xml:space="preserve">ULPA also provides a procedure for </w:t>
      </w:r>
      <w:r w:rsidR="00B64D30">
        <w:t>disposing of known claims in a dissolution, which was not addressed in RULPA.</w:t>
      </w:r>
      <w:r w:rsidR="00B64D30">
        <w:rPr>
          <w:rStyle w:val="FootnoteReference"/>
        </w:rPr>
        <w:footnoteReference w:id="49"/>
      </w:r>
      <w:r w:rsidR="00B64D30">
        <w:t xml:space="preserve">  </w:t>
      </w:r>
    </w:p>
    <w:p w:rsidR="002B003F" w:rsidRDefault="008274F9" w:rsidP="00BC72E8">
      <w:pPr>
        <w:spacing w:line="360" w:lineRule="auto"/>
        <w:ind w:firstLine="720"/>
      </w:pPr>
      <w:r>
        <w:t>ULPA denies rights to withdraw (dissociate) to both general and limited partners, unless the partnership agreement otherwise provides.</w:t>
      </w:r>
      <w:r w:rsidR="00242B9B">
        <w:rPr>
          <w:rStyle w:val="FootnoteReference"/>
        </w:rPr>
        <w:footnoteReference w:id="50"/>
      </w:r>
      <w:r>
        <w:t xml:space="preserve">  The denial of withdrawal rights is important from an estate planning standpoint</w:t>
      </w:r>
      <w:r w:rsidR="00242B9B">
        <w:t xml:space="preserve"> and represents a difference from the uniform version of RULPA</w:t>
      </w:r>
      <w:r>
        <w:t>.</w:t>
      </w:r>
      <w:r w:rsidR="00242B9B">
        <w:rPr>
          <w:rStyle w:val="FootnoteReference"/>
          <w:rFonts w:eastAsia="Times New Roman"/>
        </w:rPr>
        <w:footnoteReference w:id="51"/>
      </w:r>
      <w:r>
        <w:t xml:space="preserve">  </w:t>
      </w:r>
      <w:r w:rsidRPr="00AB5193">
        <w:rPr>
          <w:rFonts w:eastAsia="Times New Roman"/>
        </w:rPr>
        <w:t>In this sense, ULPA is like Oklahoma’s RULPA, which was modified in 19</w:t>
      </w:r>
      <w:r w:rsidR="002C15E9">
        <w:rPr>
          <w:rFonts w:eastAsia="Times New Roman"/>
        </w:rPr>
        <w:t>9</w:t>
      </w:r>
      <w:r w:rsidRPr="00AB5193">
        <w:rPr>
          <w:rFonts w:eastAsia="Times New Roman"/>
        </w:rPr>
        <w:t>8 to eliminate the uniform version’s six-month withdrawal right</w:t>
      </w:r>
      <w:r w:rsidR="00242B9B">
        <w:rPr>
          <w:rFonts w:eastAsia="Times New Roman"/>
        </w:rPr>
        <w:t xml:space="preserve"> for limited partners</w:t>
      </w:r>
      <w:r w:rsidRPr="00AB5193">
        <w:rPr>
          <w:rFonts w:eastAsia="Times New Roman"/>
        </w:rPr>
        <w:t>.</w:t>
      </w:r>
      <w:r w:rsidR="005E3786">
        <w:rPr>
          <w:rStyle w:val="FootnoteReference"/>
          <w:rFonts w:eastAsia="Times New Roman"/>
        </w:rPr>
        <w:footnoteReference w:id="52"/>
      </w:r>
      <w:r w:rsidRPr="00AB5193">
        <w:rPr>
          <w:rFonts w:eastAsia="Times New Roman"/>
        </w:rPr>
        <w:t xml:space="preserve">  </w:t>
      </w:r>
      <w:r w:rsidR="00FC6283">
        <w:rPr>
          <w:rFonts w:eastAsia="Times New Roman"/>
        </w:rPr>
        <w:t>ULPA and RULPA also differ in their treatment of buyouts.  Under RULPA, general and limited partners received the fair value of their interest after withdrawal.</w:t>
      </w:r>
      <w:r w:rsidR="00FC6283">
        <w:rPr>
          <w:rStyle w:val="FootnoteReference"/>
          <w:rFonts w:eastAsia="Times New Roman"/>
        </w:rPr>
        <w:footnoteReference w:id="53"/>
      </w:r>
      <w:r w:rsidR="00FC6283">
        <w:rPr>
          <w:rFonts w:eastAsia="Times New Roman"/>
        </w:rPr>
        <w:t xml:space="preserve">  Under </w:t>
      </w:r>
      <w:r w:rsidRPr="00AB5193">
        <w:rPr>
          <w:rFonts w:eastAsia="Times New Roman"/>
        </w:rPr>
        <w:t>ULPA</w:t>
      </w:r>
      <w:r w:rsidR="00FC6283">
        <w:rPr>
          <w:rFonts w:eastAsia="Times New Roman"/>
        </w:rPr>
        <w:t>, the withdrawing (dissociating) partner becomes a transferee of its own transferable interest, but receives no money</w:t>
      </w:r>
      <w:r w:rsidR="00E34618">
        <w:rPr>
          <w:rFonts w:eastAsia="Times New Roman"/>
        </w:rPr>
        <w:t xml:space="preserve"> unless the partnership agreement otherwise provides</w:t>
      </w:r>
      <w:r w:rsidR="00FC6283">
        <w:rPr>
          <w:rFonts w:eastAsia="Times New Roman"/>
        </w:rPr>
        <w:t>.</w:t>
      </w:r>
      <w:r w:rsidR="003C7834">
        <w:rPr>
          <w:rStyle w:val="FootnoteReference"/>
          <w:rFonts w:eastAsia="Times New Roman"/>
        </w:rPr>
        <w:footnoteReference w:id="54"/>
      </w:r>
      <w:r w:rsidR="00FC6283">
        <w:rPr>
          <w:rFonts w:eastAsia="Times New Roman"/>
        </w:rPr>
        <w:t xml:space="preserve"> </w:t>
      </w:r>
    </w:p>
    <w:p w:rsidR="00AF5686" w:rsidRDefault="00816CB9" w:rsidP="00350898">
      <w:pPr>
        <w:spacing w:line="360" w:lineRule="auto"/>
        <w:ind w:firstLine="720"/>
      </w:pPr>
      <w:r>
        <w:t>ULPA change</w:t>
      </w:r>
      <w:r w:rsidR="006D0113">
        <w:t>s</w:t>
      </w:r>
      <w:r>
        <w:t xml:space="preserve"> the limited partner consent requirements in certain instances.  </w:t>
      </w:r>
      <w:r w:rsidR="00627A00">
        <w:t>RULPA required unanimous partner consent to determine whether the partnership should dissolve.</w:t>
      </w:r>
      <w:r w:rsidR="003A5602">
        <w:rPr>
          <w:rStyle w:val="FootnoteReference"/>
        </w:rPr>
        <w:footnoteReference w:id="55"/>
      </w:r>
      <w:r w:rsidR="00627A00">
        <w:t xml:space="preserve">  ULPA requires only the consent of the general partner and a majority in interest of the limited partners.</w:t>
      </w:r>
      <w:r w:rsidR="003A5602">
        <w:rPr>
          <w:rStyle w:val="FootnoteReference"/>
        </w:rPr>
        <w:footnoteReference w:id="56"/>
      </w:r>
      <w:r w:rsidR="00627A00">
        <w:t xml:space="preserve">  RULPA also required unanimous partner consent to </w:t>
      </w:r>
      <w:r w:rsidR="00627A00">
        <w:lastRenderedPageBreak/>
        <w:t xml:space="preserve">determine </w:t>
      </w:r>
      <w:r>
        <w:t xml:space="preserve">whether the partnership would continue </w:t>
      </w:r>
      <w:r w:rsidR="002B003F">
        <w:t xml:space="preserve">after </w:t>
      </w:r>
      <w:r w:rsidR="00AF5686">
        <w:t xml:space="preserve">a </w:t>
      </w:r>
      <w:r w:rsidR="00F22F2E">
        <w:t>general partner</w:t>
      </w:r>
      <w:r w:rsidR="00AF5686">
        <w:t>’s</w:t>
      </w:r>
      <w:r w:rsidR="002B003F">
        <w:t xml:space="preserve"> dissociation</w:t>
      </w:r>
      <w:r w:rsidR="00627A00">
        <w:t>.</w:t>
      </w:r>
      <w:r w:rsidR="003A5602">
        <w:rPr>
          <w:rStyle w:val="FootnoteReference"/>
        </w:rPr>
        <w:footnoteReference w:id="57"/>
      </w:r>
      <w:r w:rsidR="00627A00">
        <w:t xml:space="preserve">  Here too, ULPA </w:t>
      </w:r>
      <w:r w:rsidR="00AF5686">
        <w:t xml:space="preserve">requires only </w:t>
      </w:r>
      <w:r w:rsidR="002B003F">
        <w:t>majority consent.</w:t>
      </w:r>
      <w:r w:rsidR="00AF5686">
        <w:rPr>
          <w:rStyle w:val="FootnoteReference"/>
        </w:rPr>
        <w:footnoteReference w:id="58"/>
      </w:r>
      <w:r w:rsidR="002B003F">
        <w:t xml:space="preserve"> </w:t>
      </w:r>
    </w:p>
    <w:p w:rsidR="0092472D" w:rsidRDefault="00364C8A" w:rsidP="00BC72E8">
      <w:pPr>
        <w:spacing w:line="360" w:lineRule="auto"/>
        <w:ind w:firstLine="720"/>
      </w:pPr>
      <w:r>
        <w:t>ULPA</w:t>
      </w:r>
      <w:r w:rsidR="005E48F4">
        <w:t xml:space="preserve"> deals explicitly with the duties of general and limited partners.  </w:t>
      </w:r>
      <w:r w:rsidR="0092472D">
        <w:t xml:space="preserve">General partners </w:t>
      </w:r>
      <w:r w:rsidR="00A308CC">
        <w:t xml:space="preserve">owe </w:t>
      </w:r>
      <w:r w:rsidR="00A46BD8">
        <w:t xml:space="preserve">the partnership </w:t>
      </w:r>
      <w:r w:rsidR="00A308CC">
        <w:t xml:space="preserve">the </w:t>
      </w:r>
      <w:r w:rsidR="006F7F13">
        <w:t xml:space="preserve">traditional </w:t>
      </w:r>
      <w:r w:rsidR="00A308CC">
        <w:t>fiduciary duties of loyalty and due care.</w:t>
      </w:r>
      <w:r w:rsidR="006F7F13">
        <w:rPr>
          <w:rStyle w:val="FootnoteReference"/>
        </w:rPr>
        <w:footnoteReference w:id="59"/>
      </w:r>
      <w:r w:rsidR="00A308CC">
        <w:t xml:space="preserve">  These duties include </w:t>
      </w:r>
      <w:r w:rsidR="004306B0">
        <w:t xml:space="preserve">a duty to preserve business opportunities and </w:t>
      </w:r>
      <w:r w:rsidR="00A308CC">
        <w:t>a duty not to compete</w:t>
      </w:r>
      <w:r w:rsidR="004306B0">
        <w:t xml:space="preserve">, </w:t>
      </w:r>
      <w:r w:rsidR="00A308CC">
        <w:t xml:space="preserve">and </w:t>
      </w:r>
      <w:r w:rsidR="004306B0">
        <w:t xml:space="preserve">the duties </w:t>
      </w:r>
      <w:r w:rsidR="00A308CC">
        <w:t>extend through the winding up of the partnership.</w:t>
      </w:r>
      <w:r w:rsidR="006F7F13">
        <w:rPr>
          <w:rStyle w:val="FootnoteReference"/>
        </w:rPr>
        <w:footnoteReference w:id="60"/>
      </w:r>
      <w:r w:rsidR="00A308CC">
        <w:t xml:space="preserve">  ULPA permits partners to refine the scope of these duties</w:t>
      </w:r>
      <w:r w:rsidR="006F7F13">
        <w:t xml:space="preserve"> in the partnership agreement.</w:t>
      </w:r>
      <w:r w:rsidR="006F7F13">
        <w:rPr>
          <w:rStyle w:val="FootnoteReference"/>
        </w:rPr>
        <w:footnoteReference w:id="61"/>
      </w:r>
      <w:r w:rsidR="006F7F13">
        <w:t xml:space="preserve">  The agreement cannot, however, eliminate the duty of loyalty, unreasonably reduce the duty of care, or eliminate the duty of good faith and fair dealing.  The agreement can specify activities that do not violate the duty </w:t>
      </w:r>
      <w:r w:rsidR="001A0092">
        <w:t xml:space="preserve">of loyalty </w:t>
      </w:r>
      <w:r w:rsidR="006F7F13">
        <w:t>if not “manifestly unreasonable”.</w:t>
      </w:r>
      <w:r w:rsidR="006F7F13">
        <w:rPr>
          <w:rStyle w:val="FootnoteReference"/>
        </w:rPr>
        <w:footnoteReference w:id="62"/>
      </w:r>
      <w:r w:rsidR="006F7F13">
        <w:t xml:space="preserve"> </w:t>
      </w:r>
      <w:r w:rsidR="00A46BD8">
        <w:t xml:space="preserve"> The general partner will owe individual partners </w:t>
      </w:r>
      <w:r w:rsidR="0085082F">
        <w:t xml:space="preserve">– in contrast to the partnership and partners as a whole </w:t>
      </w:r>
      <w:r w:rsidR="0085082F">
        <w:noBreakHyphen/>
        <w:t xml:space="preserve"> </w:t>
      </w:r>
      <w:r w:rsidR="00A46BD8">
        <w:t>a duty of good faith and fair dealing.</w:t>
      </w:r>
      <w:r w:rsidR="00A46BD8">
        <w:rPr>
          <w:rStyle w:val="FootnoteReference"/>
        </w:rPr>
        <w:footnoteReference w:id="63"/>
      </w:r>
      <w:r w:rsidR="00A46BD8">
        <w:t xml:space="preserve"> </w:t>
      </w:r>
    </w:p>
    <w:p w:rsidR="00951E03" w:rsidRDefault="001A0092" w:rsidP="00BC72E8">
      <w:pPr>
        <w:spacing w:line="360" w:lineRule="auto"/>
        <w:ind w:firstLine="720"/>
      </w:pPr>
      <w:r>
        <w:lastRenderedPageBreak/>
        <w:t xml:space="preserve">ULPA states that </w:t>
      </w:r>
      <w:r w:rsidR="005E48F4">
        <w:t>limited partners</w:t>
      </w:r>
      <w:r>
        <w:t xml:space="preserve"> </w:t>
      </w:r>
      <w:r w:rsidR="004306B0">
        <w:t>owe</w:t>
      </w:r>
      <w:r w:rsidR="005E48F4">
        <w:t xml:space="preserve"> no fiduciary duties, but do owe a duty of g</w:t>
      </w:r>
      <w:r w:rsidR="00D40D71">
        <w:t>ood faith and fair dealing</w:t>
      </w:r>
      <w:r w:rsidR="005E48F4">
        <w:t xml:space="preserve"> to the partnership and its partners.</w:t>
      </w:r>
      <w:r>
        <w:rPr>
          <w:rStyle w:val="FootnoteReference"/>
        </w:rPr>
        <w:footnoteReference w:id="64"/>
      </w:r>
      <w:r w:rsidR="004A47B5" w:rsidRPr="004A47B5">
        <w:t xml:space="preserve"> </w:t>
      </w:r>
      <w:r>
        <w:t xml:space="preserve"> </w:t>
      </w:r>
      <w:r w:rsidR="00F57E5F">
        <w:t>ULPA’s position on the duties of limited partners is consistent with the</w:t>
      </w:r>
      <w:r w:rsidR="0015482D">
        <w:t xml:space="preserve"> absence of duties owed by corporate shareholders or LLC members.</w:t>
      </w:r>
      <w:r w:rsidR="00A741A9">
        <w:rPr>
          <w:rStyle w:val="FootnoteReference"/>
        </w:rPr>
        <w:footnoteReference w:id="65"/>
      </w:r>
      <w:r w:rsidR="0015482D">
        <w:t xml:space="preserve">  These persons typically owe no duties because they </w:t>
      </w:r>
      <w:r w:rsidR="00717375">
        <w:t xml:space="preserve">hold nothing in trust for another and have </w:t>
      </w:r>
      <w:r w:rsidR="0015482D">
        <w:t xml:space="preserve">no control over the </w:t>
      </w:r>
      <w:r w:rsidR="00717375">
        <w:t>common assets.</w:t>
      </w:r>
      <w:r w:rsidR="00717375">
        <w:rPr>
          <w:rStyle w:val="FootnoteReference"/>
        </w:rPr>
        <w:footnoteReference w:id="66"/>
      </w:r>
      <w:r w:rsidR="00717375">
        <w:t xml:space="preserve">  Limited partners are permitted to act in their own self-interest without a breach of duty.</w:t>
      </w:r>
      <w:r w:rsidR="00A741A9">
        <w:rPr>
          <w:rStyle w:val="FootnoteReference"/>
        </w:rPr>
        <w:footnoteReference w:id="67"/>
      </w:r>
      <w:r w:rsidR="00717375">
        <w:t xml:space="preserve">  They must, however, deal with one another in good faith.</w:t>
      </w:r>
      <w:r w:rsidR="00641186">
        <w:rPr>
          <w:rStyle w:val="FootnoteReference"/>
        </w:rPr>
        <w:footnoteReference w:id="68"/>
      </w:r>
      <w:r w:rsidR="00717375">
        <w:t xml:space="preserve">  </w:t>
      </w:r>
    </w:p>
    <w:p w:rsidR="00E8337F" w:rsidRDefault="0014214C" w:rsidP="00BC72E8">
      <w:pPr>
        <w:spacing w:line="360" w:lineRule="auto"/>
        <w:ind w:firstLine="720"/>
      </w:pPr>
      <w:proofErr w:type="gramStart"/>
      <w:r w:rsidRPr="0014214C">
        <w:rPr>
          <w:i/>
        </w:rPr>
        <w:t>Differences in the Oklahoma Version of ULPA</w:t>
      </w:r>
      <w:r>
        <w:t>.</w:t>
      </w:r>
      <w:proofErr w:type="gramEnd"/>
      <w:r>
        <w:t xml:space="preserve">  </w:t>
      </w:r>
      <w:r w:rsidR="008C6A7E">
        <w:t xml:space="preserve">Oklahoma’s version of ULPA has few substantive differences from the Uniform version.  Most of the differences are changes in terminology made to minimize the implementation changes </w:t>
      </w:r>
      <w:r w:rsidR="00062A44">
        <w:t xml:space="preserve">to the </w:t>
      </w:r>
      <w:r w:rsidR="008C6A7E">
        <w:t>Secretary of State’s electronic filing system</w:t>
      </w:r>
      <w:r w:rsidR="00062A44">
        <w:t xml:space="preserve">.  </w:t>
      </w:r>
      <w:r w:rsidR="008C6A7E">
        <w:t xml:space="preserve">For example, a certificate of </w:t>
      </w:r>
      <w:r w:rsidR="00C11517">
        <w:t xml:space="preserve">termination </w:t>
      </w:r>
      <w:r w:rsidR="008C6A7E">
        <w:t xml:space="preserve">in the Uniform version became a certificate of </w:t>
      </w:r>
      <w:r w:rsidR="00C11517">
        <w:t>cessation</w:t>
      </w:r>
      <w:r w:rsidR="008C6A7E">
        <w:t xml:space="preserve"> in the Oklahoma version, since Oklahoma’s RULPA referred to certificates of cessation.  Similarly, </w:t>
      </w:r>
      <w:r w:rsidR="00C11517">
        <w:t xml:space="preserve">certificates of existence or authorization </w:t>
      </w:r>
      <w:r w:rsidR="008C6A7E">
        <w:t xml:space="preserve">became certificates of </w:t>
      </w:r>
      <w:r w:rsidR="00C11517">
        <w:t>good standing</w:t>
      </w:r>
      <w:r w:rsidR="008C6A7E">
        <w:t>.  A</w:t>
      </w:r>
      <w:r w:rsidR="00C11517">
        <w:t xml:space="preserve">dministrative dissolution </w:t>
      </w:r>
      <w:r w:rsidR="008C6A7E">
        <w:t xml:space="preserve">became </w:t>
      </w:r>
      <w:r w:rsidR="00C11517">
        <w:t>revocation of good standing</w:t>
      </w:r>
      <w:r w:rsidR="008C6A7E">
        <w:t xml:space="preserve">.  Other procedural steps in the Uniform version were revised to conform to the Secretary of State’s existing procedures.  These changes affected </w:t>
      </w:r>
      <w:r w:rsidR="008C6A7E">
        <w:lastRenderedPageBreak/>
        <w:t>provisions dealing with a registered agent’s resignation,</w:t>
      </w:r>
      <w:r w:rsidR="00E8337F">
        <w:rPr>
          <w:rStyle w:val="FootnoteReference"/>
        </w:rPr>
        <w:footnoteReference w:id="69"/>
      </w:r>
      <w:r w:rsidR="008C6A7E">
        <w:t xml:space="preserve"> the requirements for issuing certificates of good standing,</w:t>
      </w:r>
      <w:r w:rsidR="00071F92">
        <w:rPr>
          <w:rStyle w:val="FootnoteReference"/>
        </w:rPr>
        <w:footnoteReference w:id="70"/>
      </w:r>
      <w:r w:rsidR="008C6A7E">
        <w:t xml:space="preserve"> and requirements for annual reports,</w:t>
      </w:r>
      <w:r w:rsidR="00F82574">
        <w:rPr>
          <w:rStyle w:val="FootnoteReference"/>
        </w:rPr>
        <w:footnoteReference w:id="71"/>
      </w:r>
      <w:r w:rsidR="008C6A7E">
        <w:t xml:space="preserve"> and procedures for the revocation of good standing and subsequent reinstatement.</w:t>
      </w:r>
      <w:r w:rsidR="00A501A1">
        <w:rPr>
          <w:rStyle w:val="FootnoteReference"/>
        </w:rPr>
        <w:footnoteReference w:id="72"/>
      </w:r>
      <w:r w:rsidR="00A501A1">
        <w:t xml:space="preserve"> </w:t>
      </w:r>
    </w:p>
    <w:p w:rsidR="00331B18" w:rsidRPr="00AB5193" w:rsidRDefault="00331B18" w:rsidP="00A6041D">
      <w:pPr>
        <w:pStyle w:val="Heading3"/>
        <w:rPr>
          <w:rFonts w:eastAsia="Times New Roman"/>
        </w:rPr>
      </w:pPr>
      <w:r w:rsidRPr="00AB5193">
        <w:rPr>
          <w:rFonts w:eastAsia="Times New Roman"/>
        </w:rPr>
        <w:t>Conclusion</w:t>
      </w:r>
    </w:p>
    <w:p w:rsidR="00331B18" w:rsidRDefault="0042385B" w:rsidP="00331B18">
      <w:pPr>
        <w:overflowPunct w:val="0"/>
        <w:spacing w:line="360" w:lineRule="auto"/>
        <w:ind w:firstLine="720"/>
        <w:textAlignment w:val="baseline"/>
        <w:rPr>
          <w:rFonts w:eastAsia="Times New Roman"/>
        </w:rPr>
      </w:pPr>
      <w:r>
        <w:rPr>
          <w:rFonts w:eastAsia="Times New Roman"/>
        </w:rPr>
        <w:t>W</w:t>
      </w:r>
      <w:r w:rsidR="00A501A1">
        <w:rPr>
          <w:rFonts w:eastAsia="Times New Roman"/>
        </w:rPr>
        <w:t xml:space="preserve">hile changes at the Federal level </w:t>
      </w:r>
      <w:r w:rsidR="00731948">
        <w:rPr>
          <w:rFonts w:eastAsia="Times New Roman"/>
        </w:rPr>
        <w:t xml:space="preserve">overshadow </w:t>
      </w:r>
      <w:r w:rsidR="00A501A1">
        <w:rPr>
          <w:rFonts w:eastAsia="Times New Roman"/>
        </w:rPr>
        <w:t xml:space="preserve">the changes at the state level </w:t>
      </w:r>
      <w:r w:rsidR="00731948">
        <w:rPr>
          <w:rFonts w:eastAsia="Times New Roman"/>
        </w:rPr>
        <w:t>for</w:t>
      </w:r>
      <w:r w:rsidR="00A501A1">
        <w:rPr>
          <w:rFonts w:eastAsia="Times New Roman"/>
        </w:rPr>
        <w:t xml:space="preserve"> the laws affecting business entities, we must remain mindful that state laws do matter.  </w:t>
      </w:r>
      <w:r w:rsidR="003545EB">
        <w:rPr>
          <w:rFonts w:eastAsia="Times New Roman"/>
        </w:rPr>
        <w:t xml:space="preserve">Thousands of Oklahoma businesses are formed each year in addition to the existing businesses.  Each </w:t>
      </w:r>
      <w:r w:rsidR="00731948">
        <w:rPr>
          <w:rFonts w:eastAsia="Times New Roman"/>
        </w:rPr>
        <w:t xml:space="preserve">of these many businesses </w:t>
      </w:r>
      <w:r w:rsidR="003545EB">
        <w:rPr>
          <w:rFonts w:eastAsia="Times New Roman"/>
        </w:rPr>
        <w:t xml:space="preserve">depends on Oklahoma statutes and case law to guide their formation and operation.  The law guides relationships among owners, between owners and managers, and between the entity and persons with whom it does business.  As lawyers, we are uniquely positioned to </w:t>
      </w:r>
      <w:r w:rsidR="00731948">
        <w:rPr>
          <w:rFonts w:eastAsia="Times New Roman"/>
        </w:rPr>
        <w:t xml:space="preserve">assist these business and to </w:t>
      </w:r>
      <w:r w:rsidR="003545EB">
        <w:rPr>
          <w:rFonts w:eastAsia="Times New Roman"/>
        </w:rPr>
        <w:t xml:space="preserve">encourage best business practices.  </w:t>
      </w:r>
      <w:r w:rsidR="003545EB">
        <w:t>Good corporate governance means better relationships.  It also makes for a better marketplace.</w:t>
      </w:r>
      <w:r w:rsidR="003545EB">
        <w:rPr>
          <w:rStyle w:val="FootnoteReference"/>
        </w:rPr>
        <w:footnoteReference w:id="73"/>
      </w:r>
      <w:r w:rsidR="003545EB">
        <w:t xml:space="preserve">  Markets are more efficient where transparency and trust are found, and transactional risk decreases. </w:t>
      </w:r>
      <w:r w:rsidR="003545EB">
        <w:rPr>
          <w:rFonts w:eastAsia="Times New Roman"/>
        </w:rPr>
        <w:t xml:space="preserve"> </w:t>
      </w:r>
      <w:r w:rsidR="00731948">
        <w:rPr>
          <w:rFonts w:eastAsia="Times New Roman"/>
        </w:rPr>
        <w:t xml:space="preserve">The resulting economic benefits help us all. </w:t>
      </w:r>
    </w:p>
    <w:p w:rsidR="00331B18" w:rsidRPr="00AB5193" w:rsidRDefault="00331B18" w:rsidP="00331B18">
      <w:pPr>
        <w:overflowPunct w:val="0"/>
        <w:jc w:val="right"/>
        <w:textAlignment w:val="baseline"/>
        <w:rPr>
          <w:rFonts w:eastAsia="Times New Roman"/>
        </w:rPr>
      </w:pPr>
      <w:r w:rsidRPr="00AB5193">
        <w:rPr>
          <w:rFonts w:eastAsia="Times New Roman"/>
        </w:rPr>
        <w:t>Gary W. Derrick</w:t>
      </w:r>
      <w:r w:rsidRPr="00AB5193">
        <w:rPr>
          <w:rFonts w:eastAsia="Times New Roman"/>
        </w:rPr>
        <w:br/>
        <w:t xml:space="preserve">November </w:t>
      </w:r>
      <w:r w:rsidR="003545EB">
        <w:rPr>
          <w:rFonts w:eastAsia="Times New Roman"/>
        </w:rPr>
        <w:t>23</w:t>
      </w:r>
      <w:r w:rsidRPr="00AB5193">
        <w:rPr>
          <w:rFonts w:eastAsia="Times New Roman"/>
        </w:rPr>
        <w:t>, 20</w:t>
      </w:r>
      <w:r w:rsidR="000A76C6">
        <w:rPr>
          <w:rFonts w:eastAsia="Times New Roman"/>
        </w:rPr>
        <w:t>1</w:t>
      </w:r>
      <w:r w:rsidRPr="00AB5193">
        <w:rPr>
          <w:rFonts w:eastAsia="Times New Roman"/>
        </w:rPr>
        <w:t>0</w:t>
      </w:r>
    </w:p>
    <w:sectPr w:rsidR="00331B18" w:rsidRPr="00AB5193" w:rsidSect="00611F44">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862" w:rsidRDefault="000C2862" w:rsidP="00331B18">
      <w:pPr>
        <w:spacing w:before="0"/>
      </w:pPr>
      <w:r>
        <w:separator/>
      </w:r>
    </w:p>
  </w:endnote>
  <w:endnote w:type="continuationSeparator" w:id="0">
    <w:p w:rsidR="000C2862" w:rsidRDefault="000C2862" w:rsidP="00331B18">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62" w:rsidRDefault="000C28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2862" w:rsidRDefault="000C28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62" w:rsidRDefault="000C28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C2862" w:rsidRDefault="000C28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62" w:rsidRDefault="000C2862" w:rsidP="00611F44">
    <w:pPr>
      <w:pStyle w:val="Footer"/>
      <w:jc w:val="center"/>
    </w:pPr>
    <w:r>
      <w:rPr>
        <w:sz w:val="20"/>
      </w:rPr>
      <w:t>Gary W. Derrick 2010©</w:t>
    </w:r>
  </w:p>
  <w:p w:rsidR="000C2862" w:rsidRDefault="000C286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62" w:rsidRDefault="000C28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2862" w:rsidRDefault="000C2862">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62" w:rsidRDefault="000C28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1331">
      <w:rPr>
        <w:rStyle w:val="PageNumber"/>
        <w:noProof/>
      </w:rPr>
      <w:t>2</w:t>
    </w:r>
    <w:r>
      <w:rPr>
        <w:rStyle w:val="PageNumber"/>
      </w:rPr>
      <w:fldChar w:fldCharType="end"/>
    </w:r>
  </w:p>
  <w:p w:rsidR="000C2862" w:rsidRDefault="000C2862">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62" w:rsidRPr="0028017F" w:rsidRDefault="000C2862" w:rsidP="00611F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862" w:rsidRDefault="000C2862" w:rsidP="00331B18">
      <w:pPr>
        <w:spacing w:before="0"/>
      </w:pPr>
      <w:r>
        <w:separator/>
      </w:r>
    </w:p>
  </w:footnote>
  <w:footnote w:type="continuationSeparator" w:id="0">
    <w:p w:rsidR="000C2862" w:rsidRDefault="000C2862" w:rsidP="00331B18">
      <w:pPr>
        <w:spacing w:before="0"/>
      </w:pPr>
      <w:r>
        <w:continuationSeparator/>
      </w:r>
    </w:p>
  </w:footnote>
  <w:footnote w:id="1">
    <w:p w:rsidR="000C2862" w:rsidRPr="007C692E" w:rsidRDefault="000C2862">
      <w:pPr>
        <w:pStyle w:val="FootnoteText"/>
      </w:pPr>
      <w:r>
        <w:rPr>
          <w:rStyle w:val="FootnoteReference"/>
        </w:rPr>
        <w:footnoteRef/>
      </w:r>
      <w:r>
        <w:t xml:space="preserve"> </w:t>
      </w:r>
      <w:r>
        <w:tab/>
      </w:r>
      <w:r w:rsidRPr="007C692E">
        <w:t>The</w:t>
      </w:r>
      <w:r>
        <w:t xml:space="preserve"> </w:t>
      </w:r>
      <w:r w:rsidRPr="007C692E">
        <w:rPr>
          <w:bCs/>
        </w:rPr>
        <w:t>Dodd–Frank Wall Street Reform and Consumer Protection Act</w:t>
      </w:r>
      <w:r>
        <w:rPr>
          <w:bCs/>
        </w:rPr>
        <w:t xml:space="preserve"> </w:t>
      </w:r>
      <w:r w:rsidRPr="007C692E">
        <w:t>(Pub.</w:t>
      </w:r>
      <w:r>
        <w:t xml:space="preserve"> </w:t>
      </w:r>
      <w:proofErr w:type="gramStart"/>
      <w:r w:rsidRPr="007C692E">
        <w:t>L. 111-203,</w:t>
      </w:r>
      <w:r>
        <w:t xml:space="preserve"> </w:t>
      </w:r>
      <w:r w:rsidRPr="007C692E">
        <w:t>H.R. 4173)</w:t>
      </w:r>
      <w:r>
        <w:t xml:space="preserve"> (enacted </w:t>
      </w:r>
      <w:r w:rsidRPr="007C692E">
        <w:t>July 21, 2010</w:t>
      </w:r>
      <w:r>
        <w:t>) (“</w:t>
      </w:r>
      <w:r w:rsidRPr="00BF4277">
        <w:rPr>
          <w:i/>
        </w:rPr>
        <w:t>Dodd-Frank</w:t>
      </w:r>
      <w:r>
        <w:t>”).</w:t>
      </w:r>
      <w:proofErr w:type="gramEnd"/>
    </w:p>
  </w:footnote>
  <w:footnote w:id="2">
    <w:p w:rsidR="000C2862" w:rsidRDefault="000C2862" w:rsidP="00331B18">
      <w:pPr>
        <w:pStyle w:val="FootnoteText"/>
      </w:pPr>
      <w:r>
        <w:rPr>
          <w:rStyle w:val="FootnoteReference"/>
        </w:rPr>
        <w:footnoteRef/>
      </w:r>
      <w:r>
        <w:t xml:space="preserve"> </w:t>
      </w:r>
      <w:r>
        <w:tab/>
        <w:t xml:space="preserve">Gary W. Derrick, </w:t>
      </w:r>
      <w:r w:rsidRPr="00BF4277">
        <w:rPr>
          <w:i/>
        </w:rPr>
        <w:t>Recent Developments in Oklahoma Business and Corporate Law – 2007</w:t>
      </w:r>
      <w:r>
        <w:t xml:space="preserve">, OBA 2007 Recent Developments (Day Two). </w:t>
      </w:r>
    </w:p>
  </w:footnote>
  <w:footnote w:id="3">
    <w:p w:rsidR="000C2862" w:rsidRDefault="000C2862" w:rsidP="00331B18">
      <w:pPr>
        <w:pStyle w:val="Footnotetext0"/>
      </w:pPr>
      <w:r w:rsidRPr="00443901">
        <w:rPr>
          <w:rStyle w:val="FootnoteReference"/>
          <w:szCs w:val="20"/>
        </w:rPr>
        <w:footnoteRef/>
      </w:r>
      <w:r w:rsidRPr="00443901">
        <w:rPr>
          <w:szCs w:val="20"/>
        </w:rPr>
        <w:t xml:space="preserve"> </w:t>
      </w:r>
      <w:r w:rsidRPr="00443901">
        <w:rPr>
          <w:szCs w:val="20"/>
        </w:rPr>
        <w:tab/>
      </w:r>
      <w:r>
        <w:t xml:space="preserve">Lehman Brothers filed the largest bankruptcy filing in U.S. history on September 15, 2008.  Lehman had over $630 billion in assets and 25,000 employees.  The largest previous filing was WorldCom, whose assets before bankruptcy were just over $100 billion.  </w:t>
      </w:r>
      <w:r w:rsidRPr="00BF4277">
        <w:rPr>
          <w:rFonts w:eastAsia="Times New Roman"/>
          <w:bCs/>
          <w:i/>
          <w:kern w:val="36"/>
        </w:rPr>
        <w:t>Lehman's Demise Triggered Cash Crunch around the Globe</w:t>
      </w:r>
      <w:r>
        <w:rPr>
          <w:rFonts w:eastAsia="Times New Roman"/>
          <w:bCs/>
          <w:kern w:val="36"/>
        </w:rPr>
        <w:t xml:space="preserve">, </w:t>
      </w:r>
      <w:r w:rsidRPr="00BF4277">
        <w:rPr>
          <w:rFonts w:eastAsia="Times New Roman"/>
          <w:bCs/>
          <w:kern w:val="36"/>
        </w:rPr>
        <w:t>Wall St. J.</w:t>
      </w:r>
      <w:r>
        <w:rPr>
          <w:rFonts w:eastAsia="Times New Roman"/>
          <w:bCs/>
          <w:kern w:val="36"/>
        </w:rPr>
        <w:t xml:space="preserve"> (Sept. 29, 2008). </w:t>
      </w:r>
    </w:p>
  </w:footnote>
  <w:footnote w:id="4">
    <w:p w:rsidR="000C2862" w:rsidRDefault="000C2862" w:rsidP="00331B18">
      <w:pPr>
        <w:pStyle w:val="FootnoteText"/>
      </w:pPr>
      <w:r>
        <w:rPr>
          <w:rStyle w:val="FootnoteReference"/>
        </w:rPr>
        <w:footnoteRef/>
      </w:r>
      <w:r>
        <w:t xml:space="preserve"> </w:t>
      </w:r>
      <w:r>
        <w:tab/>
        <w:t xml:space="preserve">“On [September 16, 2008], the Federal Reserve made a </w:t>
      </w:r>
      <w:r w:rsidRPr="00ED5D04">
        <w:t>bridge loan</w:t>
      </w:r>
      <w:r>
        <w:t xml:space="preserve"> to A.I.G., the largest insurance company in the world; . . . A.I.G. has assets of over $1 trillion and over 100,000 employees worldwide. The Fed has the option to purchase up to 80% of the shares of A.I.G., is replacing A.I.G.’s management, and is nearly wiping out A.I.G.’s existing shareholders.  A.I.G. is to be wound down by selling its assets over the next two years.  The Fed has never asserted its authority to intervene on this scale, in this form, or in a firm so far removed from its own supervisory authority.”  </w:t>
      </w:r>
      <w:r w:rsidRPr="00323290">
        <w:t xml:space="preserve">Stephen J. </w:t>
      </w:r>
      <w:proofErr w:type="spellStart"/>
      <w:r w:rsidRPr="00323290">
        <w:t>Dubner</w:t>
      </w:r>
      <w:proofErr w:type="spellEnd"/>
      <w:r>
        <w:t>,</w:t>
      </w:r>
      <w:r w:rsidRPr="00323290">
        <w:t xml:space="preserve"> </w:t>
      </w:r>
      <w:proofErr w:type="spellStart"/>
      <w:r w:rsidRPr="00BF4277">
        <w:rPr>
          <w:i/>
        </w:rPr>
        <w:t>Freakonomics</w:t>
      </w:r>
      <w:proofErr w:type="spellEnd"/>
      <w:r w:rsidRPr="00BF4277">
        <w:rPr>
          <w:i/>
        </w:rPr>
        <w:t xml:space="preserve">: </w:t>
      </w:r>
      <w:r w:rsidRPr="00BF4277">
        <w:rPr>
          <w:rFonts w:eastAsia="Times New Roman"/>
          <w:bCs/>
          <w:i/>
        </w:rPr>
        <w:t xml:space="preserve">Diamond and </w:t>
      </w:r>
      <w:proofErr w:type="spellStart"/>
      <w:r w:rsidRPr="00BF4277">
        <w:rPr>
          <w:rFonts w:eastAsia="Times New Roman"/>
          <w:bCs/>
          <w:i/>
        </w:rPr>
        <w:t>Kashyap</w:t>
      </w:r>
      <w:proofErr w:type="spellEnd"/>
      <w:r w:rsidRPr="00BF4277">
        <w:rPr>
          <w:rFonts w:eastAsia="Times New Roman"/>
          <w:bCs/>
          <w:i/>
        </w:rPr>
        <w:t xml:space="preserve"> on the Recent Financial Upheavals</w:t>
      </w:r>
      <w:r>
        <w:rPr>
          <w:rFonts w:eastAsia="Times New Roman"/>
          <w:bCs/>
        </w:rPr>
        <w:t xml:space="preserve">, </w:t>
      </w:r>
      <w:proofErr w:type="spellStart"/>
      <w:r w:rsidRPr="00BF4277">
        <w:t>NYTimes</w:t>
      </w:r>
      <w:proofErr w:type="spellEnd"/>
      <w:r>
        <w:rPr>
          <w:rFonts w:eastAsia="Times New Roman"/>
          <w:bCs/>
        </w:rPr>
        <w:t xml:space="preserve"> (Sept. 18, 2008).</w:t>
      </w:r>
    </w:p>
  </w:footnote>
  <w:footnote w:id="5">
    <w:p w:rsidR="000C2862" w:rsidRDefault="000C2862" w:rsidP="00331B18">
      <w:pPr>
        <w:pStyle w:val="FootnoteText"/>
      </w:pPr>
      <w:r>
        <w:rPr>
          <w:rStyle w:val="FootnoteReference"/>
        </w:rPr>
        <w:footnoteRef/>
      </w:r>
      <w:r>
        <w:t xml:space="preserve"> </w:t>
      </w:r>
      <w:r>
        <w:tab/>
        <w:t>“</w:t>
      </w:r>
      <w:r w:rsidRPr="00C741BF">
        <w:t>Goldman Sachs</w:t>
      </w:r>
      <w:r>
        <w:t xml:space="preserve"> and </w:t>
      </w:r>
      <w:r w:rsidRPr="00C741BF">
        <w:t>Morgan Stanley</w:t>
      </w:r>
      <w:r>
        <w:t xml:space="preserve">, the last big independent investment banks on Wall Street, will transform themselves into bank holding companies subject to far greater regulation, the </w:t>
      </w:r>
      <w:r w:rsidRPr="00C741BF">
        <w:t>Federal Reserve</w:t>
      </w:r>
      <w:r>
        <w:t xml:space="preserve"> said Sunday night, a move that fundamentally reshapes an era of high finance that defined the modern Gilded Age.”  </w:t>
      </w:r>
      <w:r w:rsidRPr="00C741BF">
        <w:t xml:space="preserve">Andrew Ross </w:t>
      </w:r>
      <w:proofErr w:type="spellStart"/>
      <w:r w:rsidRPr="00C741BF">
        <w:t>Sorkin</w:t>
      </w:r>
      <w:proofErr w:type="spellEnd"/>
      <w:r w:rsidRPr="00C741BF">
        <w:t xml:space="preserve"> </w:t>
      </w:r>
      <w:r>
        <w:t>and</w:t>
      </w:r>
      <w:r w:rsidRPr="00C741BF">
        <w:t xml:space="preserve"> </w:t>
      </w:r>
      <w:proofErr w:type="spellStart"/>
      <w:r w:rsidRPr="00C741BF">
        <w:t>Vikas</w:t>
      </w:r>
      <w:proofErr w:type="spellEnd"/>
      <w:r w:rsidRPr="00C741BF">
        <w:t xml:space="preserve"> Bajaj, </w:t>
      </w:r>
      <w:r w:rsidRPr="00BF4277">
        <w:rPr>
          <w:rFonts w:eastAsia="Times New Roman"/>
          <w:i/>
          <w:kern w:val="36"/>
        </w:rPr>
        <w:t>Goldman and Morgan Shift Marks End of Era in Finance</w:t>
      </w:r>
      <w:r>
        <w:rPr>
          <w:rFonts w:eastAsia="Times New Roman"/>
          <w:caps/>
          <w:kern w:val="36"/>
        </w:rPr>
        <w:t xml:space="preserve">, </w:t>
      </w:r>
      <w:proofErr w:type="spellStart"/>
      <w:r w:rsidRPr="00BF4277">
        <w:t>NYTimes</w:t>
      </w:r>
      <w:proofErr w:type="spellEnd"/>
      <w:r w:rsidRPr="00C741BF">
        <w:rPr>
          <w:caps/>
        </w:rPr>
        <w:t xml:space="preserve"> </w:t>
      </w:r>
      <w:r w:rsidRPr="00C741BF">
        <w:t>(S</w:t>
      </w:r>
      <w:r>
        <w:t>ept</w:t>
      </w:r>
      <w:r w:rsidRPr="00C741BF">
        <w:rPr>
          <w:caps/>
        </w:rPr>
        <w:t>.</w:t>
      </w:r>
      <w:r w:rsidRPr="00C741BF">
        <w:rPr>
          <w:b/>
          <w:caps/>
        </w:rPr>
        <w:t xml:space="preserve"> </w:t>
      </w:r>
      <w:r w:rsidRPr="00C741BF">
        <w:t xml:space="preserve">21, 2008). </w:t>
      </w:r>
    </w:p>
  </w:footnote>
  <w:footnote w:id="6">
    <w:p w:rsidR="000C2862" w:rsidRDefault="000C2862" w:rsidP="00782BF1">
      <w:pPr>
        <w:pStyle w:val="FootnoteText"/>
      </w:pPr>
      <w:r>
        <w:rPr>
          <w:rStyle w:val="FootnoteReference"/>
        </w:rPr>
        <w:footnoteRef/>
      </w:r>
      <w:r>
        <w:t xml:space="preserve"> </w:t>
      </w:r>
      <w:r>
        <w:tab/>
        <w:t>This is not to say that the economic problems are like those of the Great Depression.  The Great Depression was much worse.  In 1933, unemployment was over 25% and was far higher if part-time workers are included.  Between 1929 and 1933, the gross domestic product (“</w:t>
      </w:r>
      <w:r w:rsidRPr="00615BEA">
        <w:rPr>
          <w:i/>
        </w:rPr>
        <w:t>GDP</w:t>
      </w:r>
      <w:r>
        <w:t xml:space="preserve">”) shrank to nearly half of what it was.  Exports were one-fifth of what they were in 1929.  Farm mortgages were being foreclosed at the rate of 20,000 a month.  Banks were entirely closed in 38 states and restricted in the other ten states.  Over 5,000 banks had failed by 1933, wiping out the savings of millions of people. </w:t>
      </w:r>
    </w:p>
    <w:p w:rsidR="000C2862" w:rsidRDefault="000C2862" w:rsidP="00782BF1">
      <w:pPr>
        <w:pStyle w:val="FootnoteText"/>
        <w:ind w:firstLine="0"/>
        <w:rPr>
          <w:rFonts w:eastAsia="Times New Roman"/>
          <w:bCs/>
        </w:rPr>
      </w:pPr>
      <w:r>
        <w:t xml:space="preserve">In comparison, unemployment peaked at 10.1% in October 2009 and was estimated at 9.6% in September 2010.  After solid increases in 2006 and 2007, GDP was flat at 0.0% in 2008 and decreased 2.6% in 2009.  Through the first three quarters of 2010, GDP increased by an estimated 3.7%, 1.7% and 2.0% per quarter, respectively.  Americans have substantial savings, retirement funds, and equity in real estate.  </w:t>
      </w:r>
      <w:r w:rsidRPr="00610089">
        <w:rPr>
          <w:i/>
        </w:rPr>
        <w:t>See</w:t>
      </w:r>
      <w:r>
        <w:t xml:space="preserve"> Gross Domestic Product releases from the Bureau of Economic Analysis (available at </w:t>
      </w:r>
      <w:hyperlink r:id="rId1" w:history="1">
        <w:r>
          <w:rPr>
            <w:rStyle w:val="Hyperlink"/>
          </w:rPr>
          <w:t>http://www.bea.gov/</w:t>
        </w:r>
      </w:hyperlink>
      <w:r>
        <w:t xml:space="preserve">); Bureau of Labor Statistics releases (available at </w:t>
      </w:r>
      <w:hyperlink r:id="rId2" w:history="1">
        <w:r>
          <w:rPr>
            <w:rStyle w:val="Hyperlink"/>
          </w:rPr>
          <w:t>http://www.bls.gov/</w:t>
        </w:r>
      </w:hyperlink>
      <w:r>
        <w:t xml:space="preserve">); and </w:t>
      </w:r>
      <w:proofErr w:type="spellStart"/>
      <w:r w:rsidRPr="00160815">
        <w:rPr>
          <w:i/>
        </w:rPr>
        <w:t>Freakonomics</w:t>
      </w:r>
      <w:proofErr w:type="spellEnd"/>
      <w:r w:rsidRPr="00160815">
        <w:rPr>
          <w:i/>
        </w:rPr>
        <w:t xml:space="preserve">: </w:t>
      </w:r>
      <w:r w:rsidRPr="00160815">
        <w:rPr>
          <w:rFonts w:eastAsia="Times New Roman"/>
          <w:i/>
        </w:rPr>
        <w:t>John Steele Gordon on the Financial Mess: Greed, Stupidity, Delusion — and Some More Greed</w:t>
      </w:r>
      <w:r>
        <w:rPr>
          <w:rFonts w:eastAsia="Times New Roman"/>
          <w:bCs/>
        </w:rPr>
        <w:t xml:space="preserve">, </w:t>
      </w:r>
      <w:proofErr w:type="spellStart"/>
      <w:r w:rsidRPr="00BF4277">
        <w:t>NYTimes</w:t>
      </w:r>
      <w:proofErr w:type="spellEnd"/>
      <w:r>
        <w:rPr>
          <w:rFonts w:eastAsia="Times New Roman"/>
          <w:bCs/>
        </w:rPr>
        <w:t xml:space="preserve"> (Sept. 22, 2008).</w:t>
      </w:r>
    </w:p>
    <w:p w:rsidR="000C2862" w:rsidRDefault="000C2862" w:rsidP="00782BF1">
      <w:pPr>
        <w:pStyle w:val="FootnoteText"/>
        <w:ind w:firstLine="0"/>
      </w:pPr>
      <w:r>
        <w:t>T</w:t>
      </w:r>
      <w:r w:rsidRPr="00782BF1">
        <w:t>he U.S. economy is slowly recovering.  Unemployment while high is declining, the banking and financial systems are stable, the stock market indices are up, and other economic indicators are generally positive. The economic consensus forecasts a relatively weak recovery, stymied perhaps by large governmental debt levels and weak consumer demand.</w:t>
      </w:r>
      <w:r>
        <w:t xml:space="preserve">  </w:t>
      </w:r>
      <w:r w:rsidRPr="00751F90">
        <w:rPr>
          <w:i/>
        </w:rPr>
        <w:t>A Special Report on the World Economy</w:t>
      </w:r>
      <w:r>
        <w:t xml:space="preserve">, </w:t>
      </w:r>
      <w:proofErr w:type="gramStart"/>
      <w:r w:rsidRPr="00BF4277">
        <w:t>The</w:t>
      </w:r>
      <w:proofErr w:type="gramEnd"/>
      <w:r w:rsidRPr="00BF4277">
        <w:t xml:space="preserve"> Economist</w:t>
      </w:r>
      <w:r>
        <w:t xml:space="preserve"> (Oct 7, 2010).</w:t>
      </w:r>
    </w:p>
  </w:footnote>
  <w:footnote w:id="7">
    <w:p w:rsidR="000C2862" w:rsidRDefault="000C2862" w:rsidP="00331B18">
      <w:pPr>
        <w:pStyle w:val="FootnoteText"/>
      </w:pPr>
      <w:r>
        <w:rPr>
          <w:rStyle w:val="FootnoteReference"/>
        </w:rPr>
        <w:footnoteRef/>
      </w:r>
      <w:r>
        <w:t xml:space="preserve"> </w:t>
      </w:r>
      <w:r>
        <w:tab/>
      </w:r>
      <w:proofErr w:type="gramStart"/>
      <w:r w:rsidRPr="003849D6">
        <w:t>Emergency Economic Stabilization Act of 2008</w:t>
      </w:r>
      <w:r>
        <w:t xml:space="preserve"> (the “</w:t>
      </w:r>
      <w:r w:rsidRPr="00D552BE">
        <w:rPr>
          <w:i/>
        </w:rPr>
        <w:t>EESA</w:t>
      </w:r>
      <w:r>
        <w:t>”), Pub.</w:t>
      </w:r>
      <w:proofErr w:type="gramEnd"/>
      <w:r>
        <w:t xml:space="preserve"> L. 110-343, 12 U.S.C. 5201 et seq. (enacted Oct. 3, 2008), which designated the bailout as the Troubled Assets Relief Program or “TARP”.  </w:t>
      </w:r>
      <w:r>
        <w:rPr>
          <w:rFonts w:eastAsia="Times New Roman"/>
        </w:rPr>
        <w:t xml:space="preserve">The $700 billion purchase package paralleled other Federal guaranty and borrowing programs that totaled nearly $7.8 trillion in notional value.  </w:t>
      </w:r>
      <w:r w:rsidRPr="00615BEA">
        <w:rPr>
          <w:rFonts w:eastAsia="Times New Roman"/>
          <w:i/>
        </w:rPr>
        <w:t>See</w:t>
      </w:r>
      <w:r>
        <w:rPr>
          <w:rFonts w:eastAsia="Times New Roman"/>
        </w:rPr>
        <w:t xml:space="preserve"> </w:t>
      </w:r>
      <w:r>
        <w:t xml:space="preserve">Mark Pittman and Bob </w:t>
      </w:r>
      <w:proofErr w:type="spellStart"/>
      <w:r>
        <w:t>Ivry</w:t>
      </w:r>
      <w:proofErr w:type="spellEnd"/>
      <w:r>
        <w:t xml:space="preserve">, </w:t>
      </w:r>
      <w:r w:rsidRPr="000948B0">
        <w:rPr>
          <w:i/>
        </w:rPr>
        <w:t>U.S. Pledges Top $7.7 Trillion to Ease Frozen Credit</w:t>
      </w:r>
      <w:r>
        <w:t xml:space="preserve">, </w:t>
      </w:r>
      <w:r w:rsidRPr="000948B0">
        <w:t>Bloomberg.com</w:t>
      </w:r>
      <w:r>
        <w:t xml:space="preserve"> (Nov. 24, 2008).  </w:t>
      </w:r>
    </w:p>
    <w:p w:rsidR="000C2862" w:rsidRDefault="000C2862" w:rsidP="001508F1">
      <w:pPr>
        <w:pStyle w:val="FootnoteText"/>
        <w:ind w:firstLine="0"/>
      </w:pPr>
      <w:r w:rsidRPr="00782BF1">
        <w:t>The TARP formally ended in October 2010</w:t>
      </w:r>
      <w:r>
        <w:t xml:space="preserve">.  </w:t>
      </w:r>
      <w:r>
        <w:rPr>
          <w:rFonts w:eastAsia="Times New Roman"/>
        </w:rPr>
        <w:t xml:space="preserve">The Department of Treasury released its report on TARP saying that the net cost of the program and other Treasury interests in AIG will be about $30 billion, the bulk of which relates to Fannie Mae and Freddie Mac debt assumptions and GM and Chrysler investments.  If so, the net cost would be less than 1% of GDP and less than the taxpayers’ cost of the savings and loan crisis in the late 1980’s, which represented 3.2% of GDP.  </w:t>
      </w:r>
      <w:r w:rsidRPr="00FE37B8">
        <w:rPr>
          <w:rFonts w:eastAsia="Times New Roman"/>
          <w:i/>
        </w:rPr>
        <w:t>See</w:t>
      </w:r>
      <w:r>
        <w:rPr>
          <w:rFonts w:eastAsia="Times New Roman"/>
        </w:rPr>
        <w:t xml:space="preserve"> Timothy </w:t>
      </w:r>
      <w:proofErr w:type="spellStart"/>
      <w:r>
        <w:rPr>
          <w:rFonts w:eastAsia="Times New Roman"/>
        </w:rPr>
        <w:t>F.Geithner</w:t>
      </w:r>
      <w:proofErr w:type="spellEnd"/>
      <w:r>
        <w:rPr>
          <w:rFonts w:eastAsia="Times New Roman"/>
        </w:rPr>
        <w:t xml:space="preserve">, </w:t>
      </w:r>
      <w:r w:rsidRPr="00751F90">
        <w:rPr>
          <w:rFonts w:eastAsia="Times New Roman"/>
          <w:i/>
        </w:rPr>
        <w:t>Five Myths about TARP</w:t>
      </w:r>
      <w:r>
        <w:rPr>
          <w:rFonts w:eastAsia="Times New Roman"/>
        </w:rPr>
        <w:t xml:space="preserve">, </w:t>
      </w:r>
      <w:r w:rsidRPr="00751F90">
        <w:rPr>
          <w:rFonts w:eastAsia="Times New Roman"/>
        </w:rPr>
        <w:t>Wash</w:t>
      </w:r>
      <w:r>
        <w:rPr>
          <w:rFonts w:eastAsia="Times New Roman"/>
        </w:rPr>
        <w:t>.</w:t>
      </w:r>
      <w:r w:rsidRPr="00751F90">
        <w:rPr>
          <w:rFonts w:eastAsia="Times New Roman"/>
        </w:rPr>
        <w:t xml:space="preserve"> Post</w:t>
      </w:r>
      <w:r>
        <w:rPr>
          <w:rFonts w:eastAsia="Times New Roman"/>
        </w:rPr>
        <w:t xml:space="preserve"> (Oct. 10, 2010).</w:t>
      </w:r>
    </w:p>
  </w:footnote>
  <w:footnote w:id="8">
    <w:p w:rsidR="000C2862" w:rsidRDefault="000C2862">
      <w:pPr>
        <w:pStyle w:val="FootnoteText"/>
      </w:pPr>
      <w:r>
        <w:rPr>
          <w:rStyle w:val="FootnoteReference"/>
        </w:rPr>
        <w:footnoteRef/>
      </w:r>
      <w:r>
        <w:t xml:space="preserve"> </w:t>
      </w:r>
      <w:r>
        <w:tab/>
      </w:r>
      <w:proofErr w:type="gramStart"/>
      <w:r>
        <w:t xml:space="preserve">The </w:t>
      </w:r>
      <w:r w:rsidRPr="00AE60D9">
        <w:t>American Recovery and Reinvestment Act of 2009</w:t>
      </w:r>
      <w:r>
        <w:t xml:space="preserve"> (the “</w:t>
      </w:r>
      <w:r w:rsidRPr="008D6F48">
        <w:rPr>
          <w:i/>
        </w:rPr>
        <w:t>ARRA</w:t>
      </w:r>
      <w:r>
        <w:t>” or “</w:t>
      </w:r>
      <w:r w:rsidRPr="008D6F48">
        <w:rPr>
          <w:i/>
        </w:rPr>
        <w:t>Recovery Act</w:t>
      </w:r>
      <w:r>
        <w:t>”), Public Law 111-5 (enacted Feb. 17, 2009).</w:t>
      </w:r>
      <w:proofErr w:type="gramEnd"/>
      <w:r>
        <w:t xml:space="preserve">  The Recovery Act was a combination of federal tax incentives, expansion of unemployment benefits and other social welfare, and spending for education, health care, roads and highways, energy projects, and other infrastructure. </w:t>
      </w:r>
    </w:p>
  </w:footnote>
  <w:footnote w:id="9">
    <w:p w:rsidR="000C2862" w:rsidRDefault="000C2862">
      <w:pPr>
        <w:pStyle w:val="FootnoteText"/>
      </w:pPr>
      <w:r>
        <w:rPr>
          <w:rStyle w:val="FootnoteReference"/>
        </w:rPr>
        <w:footnoteRef/>
      </w:r>
      <w:r>
        <w:t xml:space="preserve"> </w:t>
      </w:r>
      <w:r>
        <w:tab/>
      </w:r>
      <w:r w:rsidRPr="008D6F48">
        <w:rPr>
          <w:i/>
        </w:rPr>
        <w:t>Remarks by the President on 21</w:t>
      </w:r>
      <w:r w:rsidRPr="008D6F48">
        <w:rPr>
          <w:i/>
          <w:vertAlign w:val="superscript"/>
        </w:rPr>
        <w:t>st</w:t>
      </w:r>
      <w:r w:rsidRPr="008D6F48">
        <w:rPr>
          <w:i/>
        </w:rPr>
        <w:t xml:space="preserve"> Century Financial Regulatory Reform</w:t>
      </w:r>
      <w:r>
        <w:t xml:space="preserve">, White House press release (June 17, 2009) (available at </w:t>
      </w:r>
      <w:hyperlink r:id="rId3" w:history="1">
        <w:r>
          <w:rPr>
            <w:rStyle w:val="Hyperlink"/>
          </w:rPr>
          <w:t>http://www.whitehouse.gov/the_press_office/Remarks-of-the-President-on-Regulatory-Reform/</w:t>
        </w:r>
      </w:hyperlink>
      <w:r>
        <w:t xml:space="preserve">). </w:t>
      </w:r>
    </w:p>
  </w:footnote>
  <w:footnote w:id="10">
    <w:p w:rsidR="000C2862" w:rsidRDefault="000C2862">
      <w:pPr>
        <w:pStyle w:val="FootnoteText"/>
      </w:pPr>
      <w:r>
        <w:rPr>
          <w:rStyle w:val="FootnoteReference"/>
        </w:rPr>
        <w:footnoteRef/>
      </w:r>
      <w:r>
        <w:t xml:space="preserve"> </w:t>
      </w:r>
      <w:r>
        <w:tab/>
      </w:r>
      <w:r w:rsidRPr="00155483">
        <w:rPr>
          <w:rFonts w:cs="Times New Roman"/>
          <w:i/>
        </w:rPr>
        <w:t>See</w:t>
      </w:r>
      <w:r>
        <w:rPr>
          <w:rFonts w:cs="Times New Roman"/>
        </w:rPr>
        <w:t xml:space="preserve"> </w:t>
      </w:r>
      <w:r w:rsidRPr="00267513">
        <w:rPr>
          <w:rStyle w:val="apple-style-span"/>
          <w:rFonts w:cs="Times New Roman"/>
        </w:rPr>
        <w:t xml:space="preserve">H.R. 4173, </w:t>
      </w:r>
      <w:r>
        <w:rPr>
          <w:rStyle w:val="apple-style-span"/>
          <w:rFonts w:cs="Times New Roman"/>
        </w:rPr>
        <w:t xml:space="preserve">Tit. III, </w:t>
      </w:r>
      <w:r w:rsidRPr="00267513">
        <w:rPr>
          <w:rStyle w:val="apple-style-span"/>
          <w:rFonts w:cs="Times New Roman"/>
        </w:rPr>
        <w:t>§</w:t>
      </w:r>
      <w:r>
        <w:rPr>
          <w:rStyle w:val="apple-style-span"/>
          <w:rFonts w:cs="Times New Roman"/>
        </w:rPr>
        <w:t xml:space="preserve">300 </w:t>
      </w:r>
      <w:r w:rsidRPr="00155483">
        <w:rPr>
          <w:rStyle w:val="apple-style-span"/>
          <w:rFonts w:cs="Times New Roman"/>
          <w:i/>
        </w:rPr>
        <w:t>et seq.</w:t>
      </w:r>
    </w:p>
  </w:footnote>
  <w:footnote w:id="11">
    <w:p w:rsidR="000C2862" w:rsidRDefault="000C2862">
      <w:pPr>
        <w:pStyle w:val="FootnoteText"/>
      </w:pPr>
      <w:r>
        <w:rPr>
          <w:rStyle w:val="FootnoteReference"/>
        </w:rPr>
        <w:footnoteRef/>
      </w:r>
      <w:r>
        <w:t xml:space="preserve"> </w:t>
      </w:r>
      <w:r>
        <w:tab/>
      </w:r>
      <w:proofErr w:type="gramStart"/>
      <w:r w:rsidRPr="00155483">
        <w:rPr>
          <w:rFonts w:cs="Times New Roman"/>
          <w:i/>
        </w:rPr>
        <w:t>See id.</w:t>
      </w:r>
      <w:r w:rsidRPr="00267513">
        <w:rPr>
          <w:rStyle w:val="apple-style-span"/>
          <w:rFonts w:cs="Times New Roman"/>
        </w:rPr>
        <w:t xml:space="preserve">, </w:t>
      </w:r>
      <w:r>
        <w:rPr>
          <w:rStyle w:val="apple-style-span"/>
          <w:rFonts w:cs="Times New Roman"/>
        </w:rPr>
        <w:t xml:space="preserve">Tit. X, </w:t>
      </w:r>
      <w:r w:rsidRPr="00267513">
        <w:rPr>
          <w:rStyle w:val="apple-style-span"/>
          <w:rFonts w:cs="Times New Roman"/>
        </w:rPr>
        <w:t>§1</w:t>
      </w:r>
      <w:r>
        <w:rPr>
          <w:rStyle w:val="apple-style-span"/>
          <w:rFonts w:cs="Times New Roman"/>
        </w:rPr>
        <w:t xml:space="preserve">001 </w:t>
      </w:r>
      <w:r w:rsidRPr="00155483">
        <w:rPr>
          <w:rStyle w:val="apple-style-span"/>
          <w:rFonts w:cs="Times New Roman"/>
          <w:i/>
        </w:rPr>
        <w:t>et seq</w:t>
      </w:r>
      <w:r>
        <w:rPr>
          <w:rStyle w:val="apple-style-span"/>
          <w:rFonts w:cs="Times New Roman"/>
        </w:rPr>
        <w:t>.</w:t>
      </w:r>
      <w:proofErr w:type="gramEnd"/>
    </w:p>
  </w:footnote>
  <w:footnote w:id="12">
    <w:p w:rsidR="000C2862" w:rsidRDefault="000C2862">
      <w:pPr>
        <w:pStyle w:val="FootnoteText"/>
      </w:pPr>
      <w:r>
        <w:rPr>
          <w:rStyle w:val="FootnoteReference"/>
        </w:rPr>
        <w:footnoteRef/>
      </w:r>
      <w:r>
        <w:t xml:space="preserve"> </w:t>
      </w:r>
      <w:r>
        <w:tab/>
      </w:r>
      <w:proofErr w:type="gramStart"/>
      <w:r w:rsidRPr="00155483">
        <w:rPr>
          <w:rFonts w:cs="Times New Roman"/>
          <w:i/>
        </w:rPr>
        <w:t>See id.</w:t>
      </w:r>
      <w:r w:rsidRPr="00267513">
        <w:rPr>
          <w:rStyle w:val="apple-style-span"/>
          <w:rFonts w:cs="Times New Roman"/>
        </w:rPr>
        <w:t xml:space="preserve">, </w:t>
      </w:r>
      <w:r>
        <w:rPr>
          <w:rStyle w:val="apple-style-span"/>
          <w:rFonts w:cs="Times New Roman"/>
        </w:rPr>
        <w:t xml:space="preserve">Tit. V, </w:t>
      </w:r>
      <w:r w:rsidRPr="00267513">
        <w:rPr>
          <w:rStyle w:val="apple-style-span"/>
          <w:rFonts w:cs="Times New Roman"/>
        </w:rPr>
        <w:t>§</w:t>
      </w:r>
      <w:r>
        <w:rPr>
          <w:rStyle w:val="apple-style-span"/>
          <w:rFonts w:cs="Times New Roman"/>
        </w:rPr>
        <w:t xml:space="preserve">501 </w:t>
      </w:r>
      <w:r w:rsidRPr="00155483">
        <w:rPr>
          <w:rStyle w:val="apple-style-span"/>
          <w:rFonts w:cs="Times New Roman"/>
          <w:i/>
        </w:rPr>
        <w:t>et seq</w:t>
      </w:r>
      <w:r>
        <w:rPr>
          <w:rStyle w:val="apple-style-span"/>
          <w:rFonts w:cs="Times New Roman"/>
        </w:rPr>
        <w:t>.</w:t>
      </w:r>
      <w:proofErr w:type="gramEnd"/>
    </w:p>
  </w:footnote>
  <w:footnote w:id="13">
    <w:p w:rsidR="000C2862" w:rsidRPr="00267513" w:rsidRDefault="000C2862">
      <w:pPr>
        <w:pStyle w:val="FootnoteText"/>
        <w:rPr>
          <w:rFonts w:cs="Times New Roman"/>
        </w:rPr>
      </w:pPr>
      <w:r>
        <w:rPr>
          <w:rStyle w:val="FootnoteReference"/>
        </w:rPr>
        <w:footnoteRef/>
      </w:r>
      <w:r>
        <w:t xml:space="preserve"> </w:t>
      </w:r>
      <w:r w:rsidRPr="00267513">
        <w:rPr>
          <w:rFonts w:cs="Times New Roman"/>
        </w:rPr>
        <w:tab/>
      </w:r>
      <w:r w:rsidRPr="00155483">
        <w:rPr>
          <w:rFonts w:cs="Times New Roman"/>
          <w:i/>
        </w:rPr>
        <w:t>See id.</w:t>
      </w:r>
      <w:r w:rsidRPr="00267513">
        <w:rPr>
          <w:rStyle w:val="apple-style-span"/>
          <w:rFonts w:cs="Times New Roman"/>
        </w:rPr>
        <w:t xml:space="preserve">, </w:t>
      </w:r>
      <w:r>
        <w:rPr>
          <w:rStyle w:val="apple-style-span"/>
          <w:rFonts w:cs="Times New Roman"/>
        </w:rPr>
        <w:t xml:space="preserve">Tit. </w:t>
      </w:r>
      <w:proofErr w:type="gramStart"/>
      <w:r>
        <w:rPr>
          <w:rStyle w:val="apple-style-span"/>
          <w:rFonts w:cs="Times New Roman"/>
        </w:rPr>
        <w:t xml:space="preserve">I, </w:t>
      </w:r>
      <w:r w:rsidRPr="00267513">
        <w:rPr>
          <w:rStyle w:val="apple-style-span"/>
          <w:rFonts w:cs="Times New Roman"/>
        </w:rPr>
        <w:t>§1</w:t>
      </w:r>
      <w:r>
        <w:rPr>
          <w:rStyle w:val="apple-style-span"/>
          <w:rFonts w:cs="Times New Roman"/>
        </w:rPr>
        <w:t xml:space="preserve">01 </w:t>
      </w:r>
      <w:r w:rsidRPr="00155483">
        <w:rPr>
          <w:rStyle w:val="apple-style-span"/>
          <w:rFonts w:cs="Times New Roman"/>
          <w:i/>
        </w:rPr>
        <w:t>et seq</w:t>
      </w:r>
      <w:r>
        <w:rPr>
          <w:rStyle w:val="apple-style-span"/>
          <w:rFonts w:cs="Times New Roman"/>
        </w:rPr>
        <w:t>.</w:t>
      </w:r>
      <w:proofErr w:type="gramEnd"/>
      <w:r>
        <w:rPr>
          <w:rStyle w:val="apple-style-span"/>
          <w:rFonts w:cs="Times New Roman"/>
        </w:rPr>
        <w:t xml:space="preserve"> </w:t>
      </w:r>
    </w:p>
  </w:footnote>
  <w:footnote w:id="14">
    <w:p w:rsidR="000C2862" w:rsidRDefault="000C2862">
      <w:pPr>
        <w:pStyle w:val="FootnoteText"/>
      </w:pPr>
      <w:r>
        <w:rPr>
          <w:rStyle w:val="FootnoteReference"/>
        </w:rPr>
        <w:footnoteRef/>
      </w:r>
      <w:r>
        <w:t xml:space="preserve"> </w:t>
      </w:r>
      <w:r>
        <w:tab/>
      </w:r>
      <w:proofErr w:type="gramStart"/>
      <w:r w:rsidRPr="00155483">
        <w:rPr>
          <w:rFonts w:cs="Times New Roman"/>
          <w:i/>
        </w:rPr>
        <w:t>See id.</w:t>
      </w:r>
      <w:r w:rsidRPr="00267513">
        <w:rPr>
          <w:rStyle w:val="apple-style-span"/>
          <w:rFonts w:cs="Times New Roman"/>
        </w:rPr>
        <w:t xml:space="preserve">, </w:t>
      </w:r>
      <w:r>
        <w:rPr>
          <w:rStyle w:val="apple-style-span"/>
          <w:rFonts w:cs="Times New Roman"/>
        </w:rPr>
        <w:t xml:space="preserve">Tit. II, </w:t>
      </w:r>
      <w:r w:rsidRPr="00267513">
        <w:rPr>
          <w:rStyle w:val="apple-style-span"/>
          <w:rFonts w:cs="Times New Roman"/>
        </w:rPr>
        <w:t>§</w:t>
      </w:r>
      <w:r>
        <w:rPr>
          <w:rStyle w:val="apple-style-span"/>
          <w:rFonts w:cs="Times New Roman"/>
        </w:rPr>
        <w:t xml:space="preserve">201 </w:t>
      </w:r>
      <w:r w:rsidRPr="00155483">
        <w:rPr>
          <w:rStyle w:val="apple-style-span"/>
          <w:rFonts w:cs="Times New Roman"/>
          <w:i/>
        </w:rPr>
        <w:t>et seq</w:t>
      </w:r>
      <w:r>
        <w:rPr>
          <w:rStyle w:val="apple-style-span"/>
          <w:rFonts w:cs="Times New Roman"/>
        </w:rPr>
        <w:t>.</w:t>
      </w:r>
      <w:proofErr w:type="gramEnd"/>
    </w:p>
  </w:footnote>
  <w:footnote w:id="15">
    <w:p w:rsidR="000C2862" w:rsidRDefault="000C2862">
      <w:pPr>
        <w:pStyle w:val="FootnoteText"/>
      </w:pPr>
      <w:r>
        <w:rPr>
          <w:rStyle w:val="FootnoteReference"/>
        </w:rPr>
        <w:footnoteRef/>
      </w:r>
      <w:r>
        <w:t xml:space="preserve"> </w:t>
      </w:r>
      <w:r>
        <w:tab/>
      </w:r>
      <w:proofErr w:type="gramStart"/>
      <w:r w:rsidRPr="00155483">
        <w:rPr>
          <w:rFonts w:cs="Times New Roman"/>
          <w:i/>
        </w:rPr>
        <w:t>See id.</w:t>
      </w:r>
      <w:r w:rsidRPr="00267513">
        <w:rPr>
          <w:rStyle w:val="apple-style-span"/>
          <w:rFonts w:cs="Times New Roman"/>
        </w:rPr>
        <w:t xml:space="preserve">, </w:t>
      </w:r>
      <w:r>
        <w:rPr>
          <w:rStyle w:val="apple-style-span"/>
          <w:rFonts w:cs="Times New Roman"/>
        </w:rPr>
        <w:t xml:space="preserve">Tit. XIV, </w:t>
      </w:r>
      <w:r w:rsidRPr="00267513">
        <w:rPr>
          <w:rStyle w:val="apple-style-span"/>
          <w:rFonts w:cs="Times New Roman"/>
        </w:rPr>
        <w:t>§</w:t>
      </w:r>
      <w:r>
        <w:rPr>
          <w:rStyle w:val="apple-style-span"/>
          <w:rFonts w:cs="Times New Roman"/>
        </w:rPr>
        <w:t xml:space="preserve">1400 </w:t>
      </w:r>
      <w:r w:rsidRPr="00155483">
        <w:rPr>
          <w:rStyle w:val="apple-style-span"/>
          <w:rFonts w:cs="Times New Roman"/>
          <w:i/>
        </w:rPr>
        <w:t>et seq</w:t>
      </w:r>
      <w:r>
        <w:rPr>
          <w:rStyle w:val="apple-style-span"/>
          <w:rFonts w:cs="Times New Roman"/>
        </w:rPr>
        <w:t>.</w:t>
      </w:r>
      <w:proofErr w:type="gramEnd"/>
    </w:p>
  </w:footnote>
  <w:footnote w:id="16">
    <w:p w:rsidR="000C2862" w:rsidRDefault="000C2862" w:rsidP="00801034">
      <w:pPr>
        <w:pStyle w:val="FootnoteText"/>
      </w:pPr>
      <w:r>
        <w:rPr>
          <w:rStyle w:val="FootnoteReference"/>
        </w:rPr>
        <w:footnoteRef/>
      </w:r>
      <w:r>
        <w:t xml:space="preserve"> </w:t>
      </w:r>
      <w:r>
        <w:tab/>
      </w:r>
      <w:proofErr w:type="gramStart"/>
      <w:r w:rsidRPr="00155483">
        <w:rPr>
          <w:rFonts w:cs="Times New Roman"/>
          <w:i/>
        </w:rPr>
        <w:t>See id.</w:t>
      </w:r>
      <w:r w:rsidRPr="00267513">
        <w:rPr>
          <w:rStyle w:val="apple-style-span"/>
          <w:rFonts w:cs="Times New Roman"/>
        </w:rPr>
        <w:t xml:space="preserve">, </w:t>
      </w:r>
      <w:r>
        <w:rPr>
          <w:rStyle w:val="apple-style-span"/>
          <w:rFonts w:cs="Times New Roman"/>
        </w:rPr>
        <w:t xml:space="preserve">Tit. IX, </w:t>
      </w:r>
      <w:r w:rsidRPr="00267513">
        <w:rPr>
          <w:rStyle w:val="apple-style-span"/>
          <w:rFonts w:cs="Times New Roman"/>
        </w:rPr>
        <w:t>§</w:t>
      </w:r>
      <w:r>
        <w:rPr>
          <w:rStyle w:val="apple-style-span"/>
          <w:rFonts w:cs="Times New Roman"/>
        </w:rPr>
        <w:t xml:space="preserve">901 </w:t>
      </w:r>
      <w:r w:rsidRPr="00155483">
        <w:rPr>
          <w:rStyle w:val="apple-style-span"/>
          <w:rFonts w:cs="Times New Roman"/>
          <w:i/>
        </w:rPr>
        <w:t>et seq</w:t>
      </w:r>
      <w:r>
        <w:rPr>
          <w:rStyle w:val="apple-style-span"/>
          <w:rFonts w:cs="Times New Roman"/>
        </w:rPr>
        <w:t>.</w:t>
      </w:r>
      <w:proofErr w:type="gramEnd"/>
    </w:p>
  </w:footnote>
  <w:footnote w:id="17">
    <w:p w:rsidR="000C2862" w:rsidRDefault="000C2862">
      <w:pPr>
        <w:pStyle w:val="FootnoteText"/>
      </w:pPr>
      <w:r>
        <w:rPr>
          <w:rStyle w:val="FootnoteReference"/>
        </w:rPr>
        <w:footnoteRef/>
      </w:r>
      <w:r>
        <w:t xml:space="preserve"> </w:t>
      </w:r>
      <w:r>
        <w:tab/>
      </w:r>
      <w:proofErr w:type="gramStart"/>
      <w:r w:rsidRPr="00155483">
        <w:rPr>
          <w:rFonts w:cs="Times New Roman"/>
          <w:i/>
        </w:rPr>
        <w:t>See id.</w:t>
      </w:r>
      <w:r w:rsidRPr="00267513">
        <w:rPr>
          <w:rStyle w:val="apple-style-span"/>
          <w:rFonts w:cs="Times New Roman"/>
        </w:rPr>
        <w:t xml:space="preserve">, </w:t>
      </w:r>
      <w:r>
        <w:rPr>
          <w:rStyle w:val="apple-style-span"/>
          <w:rFonts w:cs="Times New Roman"/>
        </w:rPr>
        <w:t xml:space="preserve">Tit. IV, </w:t>
      </w:r>
      <w:r w:rsidRPr="00267513">
        <w:rPr>
          <w:rStyle w:val="apple-style-span"/>
          <w:rFonts w:cs="Times New Roman"/>
        </w:rPr>
        <w:t>§</w:t>
      </w:r>
      <w:r>
        <w:rPr>
          <w:rStyle w:val="apple-style-span"/>
          <w:rFonts w:cs="Times New Roman"/>
        </w:rPr>
        <w:t xml:space="preserve">401 </w:t>
      </w:r>
      <w:r w:rsidRPr="00155483">
        <w:rPr>
          <w:rStyle w:val="apple-style-span"/>
          <w:rFonts w:cs="Times New Roman"/>
          <w:i/>
        </w:rPr>
        <w:t>et seq</w:t>
      </w:r>
      <w:r>
        <w:rPr>
          <w:rStyle w:val="apple-style-span"/>
          <w:rFonts w:cs="Times New Roman"/>
        </w:rPr>
        <w:t>.</w:t>
      </w:r>
      <w:proofErr w:type="gramEnd"/>
    </w:p>
  </w:footnote>
  <w:footnote w:id="18">
    <w:p w:rsidR="000C2862" w:rsidRDefault="000C2862">
      <w:pPr>
        <w:pStyle w:val="FootnoteText"/>
      </w:pPr>
      <w:r>
        <w:rPr>
          <w:rStyle w:val="FootnoteReference"/>
        </w:rPr>
        <w:footnoteRef/>
      </w:r>
      <w:r>
        <w:t xml:space="preserve"> </w:t>
      </w:r>
      <w:r>
        <w:tab/>
      </w:r>
      <w:r w:rsidRPr="009B573A">
        <w:t xml:space="preserve">Gary W. Derrick, </w:t>
      </w:r>
      <w:r w:rsidRPr="008D6F48">
        <w:rPr>
          <w:i/>
        </w:rPr>
        <w:t>Recent Developments in Oklahoma Business and Corporate Law – 2007</w:t>
      </w:r>
      <w:r w:rsidRPr="009B573A">
        <w:t>, OBA 2007 Recent Developments (Day Two).</w:t>
      </w:r>
    </w:p>
  </w:footnote>
  <w:footnote w:id="19">
    <w:p w:rsidR="000C2862" w:rsidRPr="00396A1D" w:rsidRDefault="000C2862" w:rsidP="007D7AAA">
      <w:pPr>
        <w:pStyle w:val="FootnoteText"/>
        <w:rPr>
          <w:rFonts w:cs="Times New Roman"/>
        </w:rPr>
      </w:pPr>
      <w:r w:rsidRPr="00396A1D">
        <w:rPr>
          <w:rStyle w:val="FootnoteReference"/>
          <w:rFonts w:cs="Times New Roman"/>
          <w:sz w:val="20"/>
        </w:rPr>
        <w:footnoteRef/>
      </w:r>
      <w:r w:rsidRPr="00396A1D">
        <w:rPr>
          <w:rFonts w:cs="Times New Roman"/>
        </w:rPr>
        <w:t xml:space="preserve"> </w:t>
      </w:r>
      <w:r w:rsidRPr="00396A1D">
        <w:rPr>
          <w:rFonts w:cs="Times New Roman"/>
        </w:rPr>
        <w:tab/>
        <w:t xml:space="preserve">The International Swaps and Derivatives Association, Inc. reported that the five largest U.S.-based dealers (banks) reported a notional amount </w:t>
      </w:r>
      <w:r>
        <w:rPr>
          <w:rFonts w:cs="Times New Roman"/>
        </w:rPr>
        <w:t xml:space="preserve">of </w:t>
      </w:r>
      <w:r w:rsidRPr="00396A1D">
        <w:rPr>
          <w:rFonts w:cs="Times New Roman"/>
        </w:rPr>
        <w:t>ou</w:t>
      </w:r>
      <w:r>
        <w:rPr>
          <w:rFonts w:cs="Times New Roman"/>
        </w:rPr>
        <w:t>t</w:t>
      </w:r>
      <w:r w:rsidRPr="00396A1D">
        <w:rPr>
          <w:rFonts w:cs="Times New Roman"/>
        </w:rPr>
        <w:t>sta</w:t>
      </w:r>
      <w:r>
        <w:rPr>
          <w:rFonts w:cs="Times New Roman"/>
        </w:rPr>
        <w:t>n</w:t>
      </w:r>
      <w:r w:rsidRPr="00396A1D">
        <w:rPr>
          <w:rFonts w:cs="Times New Roman"/>
        </w:rPr>
        <w:t xml:space="preserve">ding </w:t>
      </w:r>
      <w:r>
        <w:rPr>
          <w:rFonts w:cs="Times New Roman"/>
        </w:rPr>
        <w:t xml:space="preserve">derivatives </w:t>
      </w:r>
      <w:r w:rsidRPr="00396A1D">
        <w:rPr>
          <w:rFonts w:cs="Times New Roman"/>
        </w:rPr>
        <w:t>of $172.3 </w:t>
      </w:r>
      <w:r>
        <w:rPr>
          <w:rFonts w:cs="Times New Roman"/>
        </w:rPr>
        <w:t>t</w:t>
      </w:r>
      <w:r w:rsidRPr="00396A1D">
        <w:rPr>
          <w:rFonts w:cs="Times New Roman"/>
        </w:rPr>
        <w:t>rillion</w:t>
      </w:r>
      <w:r>
        <w:rPr>
          <w:rFonts w:cs="Times New Roman"/>
        </w:rPr>
        <w:t xml:space="preserve"> as of June 30, 2010</w:t>
      </w:r>
      <w:r w:rsidRPr="00396A1D">
        <w:rPr>
          <w:rFonts w:cs="Times New Roman"/>
        </w:rPr>
        <w:t xml:space="preserve">, which is 37% of the reported $466.8 trillion worldwide market.  </w:t>
      </w:r>
      <w:r w:rsidRPr="002F0C20">
        <w:rPr>
          <w:rFonts w:cs="Times New Roman"/>
          <w:i/>
        </w:rPr>
        <w:t>See</w:t>
      </w:r>
      <w:r>
        <w:rPr>
          <w:rFonts w:cs="Times New Roman"/>
        </w:rPr>
        <w:t xml:space="preserve"> ISDA news release (</w:t>
      </w:r>
      <w:r>
        <w:rPr>
          <w:rStyle w:val="apple-style-span"/>
          <w:rFonts w:cs="Times New Roman"/>
          <w:color w:val="000000"/>
        </w:rPr>
        <w:t>avail. at</w:t>
      </w:r>
      <w:r>
        <w:t xml:space="preserve"> </w:t>
      </w:r>
      <w:hyperlink r:id="rId4" w:history="1">
        <w:r>
          <w:rPr>
            <w:rStyle w:val="Hyperlink"/>
          </w:rPr>
          <w:t>http://www.isda.org/media/press/2010/press102510.html</w:t>
        </w:r>
      </w:hyperlink>
      <w:r>
        <w:t xml:space="preserve">) (Oct. 25, 1010).  </w:t>
      </w:r>
      <w:r w:rsidRPr="00396A1D">
        <w:rPr>
          <w:rFonts w:cs="Times New Roman"/>
        </w:rPr>
        <w:t xml:space="preserve">Based on reports of the Office of the Comptroller, the </w:t>
      </w:r>
      <w:r w:rsidRPr="00396A1D">
        <w:rPr>
          <w:rStyle w:val="apple-style-span"/>
          <w:rFonts w:cs="Times New Roman"/>
          <w:color w:val="000000"/>
        </w:rPr>
        <w:t xml:space="preserve">five largest </w:t>
      </w:r>
      <w:r w:rsidR="00793D75">
        <w:rPr>
          <w:rStyle w:val="apple-style-span"/>
          <w:rFonts w:cs="Times New Roman"/>
          <w:color w:val="000000"/>
        </w:rPr>
        <w:t xml:space="preserve">U.S. </w:t>
      </w:r>
      <w:r w:rsidRPr="00396A1D">
        <w:rPr>
          <w:rStyle w:val="apple-style-span"/>
          <w:rFonts w:cs="Times New Roman"/>
          <w:color w:val="000000"/>
        </w:rPr>
        <w:t>banks hold 97</w:t>
      </w:r>
      <w:r>
        <w:rPr>
          <w:rStyle w:val="apple-style-span"/>
          <w:rFonts w:cs="Times New Roman"/>
          <w:color w:val="000000"/>
        </w:rPr>
        <w:t>%</w:t>
      </w:r>
      <w:r w:rsidRPr="00396A1D">
        <w:rPr>
          <w:rStyle w:val="apple-style-span"/>
          <w:rFonts w:cs="Times New Roman"/>
          <w:color w:val="000000"/>
        </w:rPr>
        <w:t xml:space="preserve"> of the total notional amount of derivatives</w:t>
      </w:r>
      <w:r w:rsidR="00793D75">
        <w:rPr>
          <w:rStyle w:val="apple-style-span"/>
          <w:rFonts w:cs="Times New Roman"/>
          <w:color w:val="000000"/>
        </w:rPr>
        <w:t xml:space="preserve"> in the U.S.</w:t>
      </w:r>
      <w:r w:rsidRPr="00396A1D">
        <w:rPr>
          <w:rStyle w:val="apple-style-span"/>
          <w:rFonts w:cs="Times New Roman"/>
          <w:color w:val="000000"/>
        </w:rPr>
        <w:t xml:space="preserve">  </w:t>
      </w:r>
      <w:proofErr w:type="gramStart"/>
      <w:r w:rsidRPr="002F0C20">
        <w:rPr>
          <w:rStyle w:val="apple-style-span"/>
          <w:rFonts w:cs="Times New Roman"/>
          <w:i/>
          <w:color w:val="000000"/>
        </w:rPr>
        <w:t>OCC Reports Stong First Quarter Trading Revenues and Declining Derivatives Credit Exposure</w:t>
      </w:r>
      <w:r>
        <w:rPr>
          <w:rStyle w:val="apple-style-span"/>
          <w:rFonts w:cs="Times New Roman"/>
          <w:color w:val="000000"/>
        </w:rPr>
        <w:t xml:space="preserve">, OCC news release (avail. at </w:t>
      </w:r>
      <w:hyperlink r:id="rId5" w:history="1">
        <w:r w:rsidR="00026C15" w:rsidRPr="00AB7356">
          <w:rPr>
            <w:rStyle w:val="Hyperlink"/>
          </w:rPr>
          <w:t>http://www.occ.gov/news-issuances/news-releases/2010/nr-occ-2010-71.html</w:t>
        </w:r>
      </w:hyperlink>
      <w:r>
        <w:t>) (June 25, 1010).</w:t>
      </w:r>
      <w:proofErr w:type="gramEnd"/>
      <w:r>
        <w:t xml:space="preserve">  The notional amount is down from </w:t>
      </w:r>
      <w:r w:rsidRPr="00396A1D">
        <w:rPr>
          <w:rFonts w:cs="Times New Roman"/>
          <w:color w:val="000000"/>
        </w:rPr>
        <w:t xml:space="preserve">$203.5 trillion in the second quarter of 2009.  </w:t>
      </w:r>
      <w:proofErr w:type="gramStart"/>
      <w:r w:rsidRPr="002F0C20">
        <w:rPr>
          <w:rFonts w:eastAsia="Times New Roman" w:cs="Times New Roman"/>
          <w:bCs/>
          <w:i/>
        </w:rPr>
        <w:t>Quarterly Report on Bank Trading and Derivatives Activities</w:t>
      </w:r>
      <w:r>
        <w:rPr>
          <w:rFonts w:eastAsia="Times New Roman" w:cs="Times New Roman"/>
          <w:bCs/>
        </w:rPr>
        <w:t xml:space="preserve">, </w:t>
      </w:r>
      <w:r w:rsidRPr="00396A1D">
        <w:rPr>
          <w:rFonts w:cs="Times New Roman"/>
        </w:rPr>
        <w:t>O</w:t>
      </w:r>
      <w:r>
        <w:rPr>
          <w:rFonts w:cs="Times New Roman"/>
        </w:rPr>
        <w:t>CC</w:t>
      </w:r>
      <w:r w:rsidRPr="00396A1D">
        <w:rPr>
          <w:rFonts w:eastAsia="Times New Roman" w:cs="Times New Roman"/>
          <w:bCs/>
        </w:rPr>
        <w:t xml:space="preserve"> (</w:t>
      </w:r>
      <w:r>
        <w:rPr>
          <w:rFonts w:eastAsia="Times New Roman" w:cs="Times New Roman"/>
          <w:bCs/>
        </w:rPr>
        <w:t>2</w:t>
      </w:r>
      <w:r w:rsidRPr="00396A1D">
        <w:rPr>
          <w:rFonts w:eastAsia="Times New Roman" w:cs="Times New Roman"/>
          <w:bCs/>
        </w:rPr>
        <w:t>Q 2009).</w:t>
      </w:r>
      <w:proofErr w:type="gramEnd"/>
    </w:p>
  </w:footnote>
  <w:footnote w:id="20">
    <w:p w:rsidR="000C2862" w:rsidRDefault="000C2862">
      <w:pPr>
        <w:pStyle w:val="FootnoteText"/>
      </w:pPr>
      <w:r>
        <w:rPr>
          <w:rStyle w:val="FootnoteReference"/>
        </w:rPr>
        <w:footnoteRef/>
      </w:r>
      <w:r>
        <w:t xml:space="preserve"> </w:t>
      </w:r>
      <w:r>
        <w:tab/>
      </w:r>
      <w:r w:rsidRPr="00155483">
        <w:rPr>
          <w:rFonts w:cs="Times New Roman"/>
          <w:i/>
        </w:rPr>
        <w:t xml:space="preserve">See </w:t>
      </w:r>
      <w:r>
        <w:t xml:space="preserve">H.R. 4173, Tit. VII, </w:t>
      </w:r>
      <w:r>
        <w:rPr>
          <w:rFonts w:cs="Times New Roman"/>
        </w:rPr>
        <w:t>§701</w:t>
      </w:r>
      <w:r>
        <w:t>.</w:t>
      </w:r>
    </w:p>
  </w:footnote>
  <w:footnote w:id="21">
    <w:p w:rsidR="000C2862" w:rsidRDefault="000C2862">
      <w:pPr>
        <w:pStyle w:val="FootnoteText"/>
      </w:pPr>
      <w:r>
        <w:rPr>
          <w:rStyle w:val="FootnoteReference"/>
        </w:rPr>
        <w:footnoteRef/>
      </w:r>
      <w:r>
        <w:t xml:space="preserve"> </w:t>
      </w:r>
      <w:r>
        <w:tab/>
      </w:r>
      <w:proofErr w:type="gramStart"/>
      <w:r w:rsidRPr="00155483">
        <w:rPr>
          <w:rFonts w:cs="Times New Roman"/>
          <w:i/>
        </w:rPr>
        <w:t>See</w:t>
      </w:r>
      <w:r>
        <w:rPr>
          <w:rFonts w:cs="Times New Roman"/>
          <w:i/>
        </w:rPr>
        <w:t xml:space="preserve"> id.</w:t>
      </w:r>
      <w:r>
        <w:t xml:space="preserve">, Tit. VIII, </w:t>
      </w:r>
      <w:r>
        <w:rPr>
          <w:rFonts w:cs="Times New Roman"/>
        </w:rPr>
        <w:t>§</w:t>
      </w:r>
      <w:r>
        <w:t>802.</w:t>
      </w:r>
      <w:proofErr w:type="gramEnd"/>
    </w:p>
  </w:footnote>
  <w:footnote w:id="22">
    <w:p w:rsidR="000C2862" w:rsidRDefault="000C2862">
      <w:pPr>
        <w:pStyle w:val="FootnoteText"/>
      </w:pPr>
      <w:r>
        <w:rPr>
          <w:rStyle w:val="FootnoteReference"/>
        </w:rPr>
        <w:footnoteRef/>
      </w:r>
      <w:r>
        <w:t xml:space="preserve"> </w:t>
      </w:r>
      <w:r>
        <w:tab/>
      </w:r>
      <w:proofErr w:type="gramStart"/>
      <w:r w:rsidRPr="00155483">
        <w:rPr>
          <w:rFonts w:cs="Times New Roman"/>
          <w:i/>
        </w:rPr>
        <w:t>See id.</w:t>
      </w:r>
      <w:r w:rsidRPr="00267513">
        <w:rPr>
          <w:rStyle w:val="apple-style-span"/>
          <w:rFonts w:cs="Times New Roman"/>
        </w:rPr>
        <w:t xml:space="preserve">, </w:t>
      </w:r>
      <w:r>
        <w:rPr>
          <w:rStyle w:val="apple-style-span"/>
          <w:rFonts w:cs="Times New Roman"/>
        </w:rPr>
        <w:t xml:space="preserve">Tit. VI, </w:t>
      </w:r>
      <w:r w:rsidRPr="00267513">
        <w:rPr>
          <w:rStyle w:val="apple-style-span"/>
          <w:rFonts w:cs="Times New Roman"/>
        </w:rPr>
        <w:t>§</w:t>
      </w:r>
      <w:r>
        <w:rPr>
          <w:rStyle w:val="apple-style-span"/>
          <w:rFonts w:cs="Times New Roman"/>
        </w:rPr>
        <w:t xml:space="preserve">601 </w:t>
      </w:r>
      <w:r w:rsidRPr="00155483">
        <w:rPr>
          <w:rStyle w:val="apple-style-span"/>
          <w:rFonts w:cs="Times New Roman"/>
          <w:i/>
        </w:rPr>
        <w:t>et seq</w:t>
      </w:r>
      <w:r>
        <w:rPr>
          <w:rStyle w:val="apple-style-span"/>
          <w:rFonts w:cs="Times New Roman"/>
        </w:rPr>
        <w:t xml:space="preserve">. and Tit. VII, </w:t>
      </w:r>
      <w:r>
        <w:rPr>
          <w:rFonts w:cs="Times New Roman"/>
        </w:rPr>
        <w:t>§701 et seq.</w:t>
      </w:r>
      <w:proofErr w:type="gramEnd"/>
      <w:r>
        <w:rPr>
          <w:rFonts w:cs="Times New Roman"/>
        </w:rPr>
        <w:t xml:space="preserve"> </w:t>
      </w:r>
      <w:r>
        <w:t xml:space="preserve"> For a summary of the provisions, see </w:t>
      </w:r>
      <w:hyperlink r:id="rId6" w:history="1">
        <w:r w:rsidRPr="005D65EE">
          <w:rPr>
            <w:rStyle w:val="Hyperlink"/>
          </w:rPr>
          <w:t>http://www.skadden.com/newsletters/FSR_The_Volcker_Rule.pdf</w:t>
        </w:r>
      </w:hyperlink>
      <w:r>
        <w:t>.</w:t>
      </w:r>
    </w:p>
  </w:footnote>
  <w:footnote w:id="23">
    <w:p w:rsidR="000C2862" w:rsidRDefault="000C2862" w:rsidP="00C21FF6">
      <w:pPr>
        <w:pStyle w:val="FootnoteText"/>
      </w:pPr>
      <w:r>
        <w:rPr>
          <w:rStyle w:val="FootnoteReference"/>
        </w:rPr>
        <w:footnoteRef/>
      </w:r>
      <w:r>
        <w:t xml:space="preserve"> </w:t>
      </w:r>
      <w:r>
        <w:tab/>
        <w:t xml:space="preserve">Adolf A. </w:t>
      </w:r>
      <w:proofErr w:type="spellStart"/>
      <w:r>
        <w:t>Berle</w:t>
      </w:r>
      <w:proofErr w:type="spellEnd"/>
      <w:r>
        <w:t xml:space="preserve">, Jr., and Gardiner C. Means, </w:t>
      </w:r>
      <w:proofErr w:type="gramStart"/>
      <w:r w:rsidRPr="00A652EB">
        <w:rPr>
          <w:i/>
        </w:rPr>
        <w:t>The</w:t>
      </w:r>
      <w:proofErr w:type="gramEnd"/>
      <w:r w:rsidRPr="00A652EB">
        <w:rPr>
          <w:i/>
        </w:rPr>
        <w:t xml:space="preserve"> Modern Corporation and Private Property</w:t>
      </w:r>
      <w:r>
        <w:t xml:space="preserve"> (Macmillan 1932).</w:t>
      </w:r>
    </w:p>
  </w:footnote>
  <w:footnote w:id="24">
    <w:p w:rsidR="000C2862" w:rsidRDefault="000C2862">
      <w:pPr>
        <w:pStyle w:val="FootnoteText"/>
      </w:pPr>
      <w:r>
        <w:rPr>
          <w:rStyle w:val="FootnoteReference"/>
        </w:rPr>
        <w:footnoteRef/>
      </w:r>
      <w:r>
        <w:t xml:space="preserve"> </w:t>
      </w:r>
      <w:r>
        <w:tab/>
        <w:t xml:space="preserve">Sarbanes-Oxley Act of 2002, Pub. </w:t>
      </w:r>
      <w:proofErr w:type="gramStart"/>
      <w:r>
        <w:t>L. No. 107-204, 116 Stat. 745 (2002).</w:t>
      </w:r>
      <w:proofErr w:type="gramEnd"/>
      <w:r>
        <w:t xml:space="preserve">  In a 2005 report, the global accounting firm of </w:t>
      </w:r>
      <w:proofErr w:type="spellStart"/>
      <w:r>
        <w:t>Pricewaterhouse</w:t>
      </w:r>
      <w:proofErr w:type="spellEnd"/>
      <w:r>
        <w:t xml:space="preserve"> Coopers described Sarbanes-Oxley as the “single most important piece of legislation affecting corporate governance, financial disclosure and the practice of public accounting since the US securities laws of the early 1930s.”  </w:t>
      </w:r>
      <w:r>
        <w:rPr>
          <w:rStyle w:val="apple-style-span"/>
          <w:color w:val="000000"/>
        </w:rPr>
        <w:t>PricewaterhouseCoopers (Aug. 2005)</w:t>
      </w:r>
      <w:r>
        <w:t>.</w:t>
      </w:r>
    </w:p>
  </w:footnote>
  <w:footnote w:id="25">
    <w:p w:rsidR="000C2862" w:rsidRDefault="000C2862">
      <w:pPr>
        <w:pStyle w:val="FootnoteText"/>
      </w:pPr>
      <w:r>
        <w:rPr>
          <w:rStyle w:val="FootnoteReference"/>
        </w:rPr>
        <w:footnoteRef/>
      </w:r>
      <w:r>
        <w:t xml:space="preserve"> </w:t>
      </w:r>
      <w:r>
        <w:tab/>
      </w:r>
      <w:r w:rsidR="00BB2CBA" w:rsidRPr="00155483">
        <w:rPr>
          <w:rFonts w:cs="Times New Roman"/>
          <w:i/>
        </w:rPr>
        <w:t xml:space="preserve">See </w:t>
      </w:r>
      <w:r w:rsidR="00BB2CBA">
        <w:t>H.R. 4173,</w:t>
      </w:r>
      <w:r w:rsidRPr="00267513">
        <w:rPr>
          <w:rStyle w:val="apple-style-span"/>
          <w:rFonts w:cs="Times New Roman"/>
        </w:rPr>
        <w:t xml:space="preserve"> §</w:t>
      </w:r>
      <w:r>
        <w:rPr>
          <w:rStyle w:val="apple-style-span"/>
          <w:rFonts w:cs="Times New Roman"/>
        </w:rPr>
        <w:t>§951-957.</w:t>
      </w:r>
    </w:p>
  </w:footnote>
  <w:footnote w:id="26">
    <w:p w:rsidR="000C2862" w:rsidRDefault="000C2862">
      <w:pPr>
        <w:pStyle w:val="FootnoteText"/>
      </w:pPr>
      <w:r>
        <w:rPr>
          <w:rStyle w:val="FootnoteReference"/>
        </w:rPr>
        <w:footnoteRef/>
      </w:r>
      <w:r>
        <w:t xml:space="preserve"> </w:t>
      </w:r>
      <w:r>
        <w:tab/>
      </w:r>
      <w:r w:rsidRPr="000434F4">
        <w:t>Whether and to what extent these re</w:t>
      </w:r>
      <w:r>
        <w:t xml:space="preserve">quirements will reduce executive compensation </w:t>
      </w:r>
      <w:r w:rsidRPr="000434F4">
        <w:t>is uncertain.</w:t>
      </w:r>
      <w:r>
        <w:t xml:space="preserve">  C</w:t>
      </w:r>
      <w:r>
        <w:rPr>
          <w:rFonts w:eastAsia="Times New Roman"/>
        </w:rPr>
        <w:t xml:space="preserve">omplaints about executive compensation, and attempts to control it, are nothing new.  In 1993, the Internal Revenue Service capped the deductibility in public companies of executive compensation exceeding $1 million.  </w:t>
      </w:r>
      <w:proofErr w:type="gramStart"/>
      <w:r w:rsidRPr="00372EEC">
        <w:t xml:space="preserve">Internal Revenue Code of 1986, </w:t>
      </w:r>
      <w:r w:rsidRPr="00B02093">
        <w:rPr>
          <w:rFonts w:eastAsia="Times New Roman"/>
        </w:rPr>
        <w:t>§162(m)</w:t>
      </w:r>
      <w:r w:rsidRPr="00372EEC">
        <w:rPr>
          <w:rFonts w:eastAsia="Times New Roman"/>
        </w:rPr>
        <w:t>.</w:t>
      </w:r>
      <w:proofErr w:type="gramEnd"/>
      <w:r w:rsidRPr="00372EEC">
        <w:rPr>
          <w:rFonts w:eastAsia="Times New Roman"/>
        </w:rPr>
        <w:t xml:space="preserve">  </w:t>
      </w:r>
      <w:r w:rsidRPr="00372EEC">
        <w:t xml:space="preserve">The </w:t>
      </w:r>
      <w:r>
        <w:t xml:space="preserve">section was intended </w:t>
      </w:r>
      <w:r w:rsidRPr="00372EEC">
        <w:t>to reign in executive compensation by eliminating the tax-deductibility of executive compensation above $1</w:t>
      </w:r>
      <w:r>
        <w:t> </w:t>
      </w:r>
      <w:r w:rsidRPr="00372EEC">
        <w:t>million</w:t>
      </w:r>
      <w:r w:rsidR="00BE6AD7">
        <w:t>,</w:t>
      </w:r>
      <w:r w:rsidRPr="00372EEC">
        <w:t xml:space="preserve"> unless the excess compensation was performance-based. </w:t>
      </w:r>
      <w:r>
        <w:t xml:space="preserve"> The section led to greater use of performance-based stock options, which led to dramatic increases in executive compensation as the equity markets rose. </w:t>
      </w:r>
    </w:p>
    <w:p w:rsidR="000C2862" w:rsidRDefault="000C2862" w:rsidP="007F23AF">
      <w:pPr>
        <w:pStyle w:val="FootnoteText"/>
        <w:ind w:firstLine="0"/>
      </w:pPr>
      <w:r>
        <w:rPr>
          <w:rFonts w:eastAsia="Times New Roman"/>
        </w:rPr>
        <w:t xml:space="preserve">The Securities and Exchange Commission has long sought improved executive compensation disclosures. </w:t>
      </w:r>
      <w:r>
        <w:t xml:space="preserve">The SEC adopted new disclosure requirements for executive compensation in 1992 and in 1993.  </w:t>
      </w:r>
      <w:proofErr w:type="gramStart"/>
      <w:r>
        <w:t>Executive Compensation Disclosure (</w:t>
      </w:r>
      <w:proofErr w:type="spellStart"/>
      <w:r>
        <w:t>Rel</w:t>
      </w:r>
      <w:proofErr w:type="spellEnd"/>
      <w:r>
        <w:t xml:space="preserve"> No. 6962, eff. Oct. 21, 1992) and Executive Compensation Disclosure, </w:t>
      </w:r>
      <w:proofErr w:type="spellStart"/>
      <w:r>
        <w:t>Securityholder</w:t>
      </w:r>
      <w:proofErr w:type="spellEnd"/>
      <w:r>
        <w:t xml:space="preserve"> Lists and Mailing Lists (Rel. No. 7032, eff. Nov. 22, 1993).</w:t>
      </w:r>
      <w:proofErr w:type="gramEnd"/>
      <w:r>
        <w:t xml:space="preserve">  Later major revisions occurred in 2006.   </w:t>
      </w:r>
      <w:proofErr w:type="gramStart"/>
      <w:r w:rsidRPr="00CF3897">
        <w:rPr>
          <w:bCs/>
        </w:rPr>
        <w:t xml:space="preserve">Executive Compensation </w:t>
      </w:r>
      <w:r>
        <w:rPr>
          <w:bCs/>
        </w:rPr>
        <w:t>a</w:t>
      </w:r>
      <w:r w:rsidRPr="00CF3897">
        <w:rPr>
          <w:bCs/>
        </w:rPr>
        <w:t>nd Related Person Disclosure</w:t>
      </w:r>
      <w:r>
        <w:rPr>
          <w:bCs/>
        </w:rPr>
        <w:t xml:space="preserve"> (Rel. Nos</w:t>
      </w:r>
      <w:r w:rsidRPr="00CF3897">
        <w:rPr>
          <w:bCs/>
        </w:rPr>
        <w:t>. 33-8732A; 34-54302A</w:t>
      </w:r>
      <w:r>
        <w:rPr>
          <w:bCs/>
        </w:rPr>
        <w:t>, eff. Nov. 6, 2006) (substantial revisions of disclosure regulations under Reg. S-K, including the adoption of a “compensation discussion and analysis” section for proxy statements).</w:t>
      </w:r>
      <w:proofErr w:type="gramEnd"/>
      <w:r w:rsidRPr="00A8633D">
        <w:rPr>
          <w:rFonts w:eastAsia="Times New Roman"/>
        </w:rPr>
        <w:t xml:space="preserve"> </w:t>
      </w:r>
      <w:r>
        <w:rPr>
          <w:rFonts w:eastAsia="Times New Roman"/>
        </w:rPr>
        <w:t xml:space="preserve">The SEC’s mandate for better transparency arguably focused a brighter light on executive pay.  </w:t>
      </w:r>
    </w:p>
  </w:footnote>
  <w:footnote w:id="27">
    <w:p w:rsidR="000C2862" w:rsidRDefault="000C2862">
      <w:pPr>
        <w:pStyle w:val="FootnoteText"/>
      </w:pPr>
      <w:r>
        <w:rPr>
          <w:rStyle w:val="FootnoteReference"/>
        </w:rPr>
        <w:footnoteRef/>
      </w:r>
      <w:r>
        <w:t xml:space="preserve"> </w:t>
      </w:r>
      <w:r>
        <w:tab/>
      </w:r>
      <w:r w:rsidRPr="00155483">
        <w:rPr>
          <w:rFonts w:cs="Times New Roman"/>
          <w:i/>
        </w:rPr>
        <w:t>See</w:t>
      </w:r>
      <w:r>
        <w:rPr>
          <w:rFonts w:cs="Times New Roman"/>
          <w:i/>
        </w:rPr>
        <w:t xml:space="preserve"> </w:t>
      </w:r>
      <w:r>
        <w:t xml:space="preserve">H.R. 4173, Tit. IX, </w:t>
      </w:r>
      <w:r w:rsidRPr="00267513">
        <w:rPr>
          <w:rStyle w:val="apple-style-span"/>
          <w:rFonts w:cs="Times New Roman"/>
        </w:rPr>
        <w:t>§</w:t>
      </w:r>
      <w:r>
        <w:rPr>
          <w:rStyle w:val="apple-style-span"/>
          <w:rFonts w:cs="Times New Roman"/>
        </w:rPr>
        <w:t>956.</w:t>
      </w:r>
    </w:p>
  </w:footnote>
  <w:footnote w:id="28">
    <w:p w:rsidR="000C2862" w:rsidRDefault="000C2862">
      <w:pPr>
        <w:pStyle w:val="FootnoteText"/>
      </w:pPr>
      <w:r>
        <w:rPr>
          <w:rStyle w:val="FootnoteReference"/>
        </w:rPr>
        <w:footnoteRef/>
      </w:r>
      <w:r>
        <w:t xml:space="preserve"> </w:t>
      </w:r>
      <w:r>
        <w:tab/>
      </w:r>
      <w:r w:rsidRPr="00902818">
        <w:rPr>
          <w:i/>
        </w:rPr>
        <w:t>Guidance on Sound Incentive Compensation Policies</w:t>
      </w:r>
      <w:r>
        <w:t xml:space="preserve">, Fed. Res. Dock. No. </w:t>
      </w:r>
      <w:proofErr w:type="gramStart"/>
      <w:r>
        <w:t xml:space="preserve">OP-1374 (June 21, 2010) (available at </w:t>
      </w:r>
      <w:hyperlink r:id="rId7" w:history="1">
        <w:r w:rsidRPr="00820A54">
          <w:rPr>
            <w:rStyle w:val="Hyperlink"/>
          </w:rPr>
          <w:t>http://www.federalreserve.gov/newsevents/press/bcreg/</w:t>
        </w:r>
        <w:r w:rsidRPr="00820A54">
          <w:rPr>
            <w:rStyle w:val="Hyperlink"/>
          </w:rPr>
          <w:br/>
          <w:t>bcreg20100621a1.pdf</w:t>
        </w:r>
      </w:hyperlink>
      <w:r>
        <w:t>).</w:t>
      </w:r>
      <w:proofErr w:type="gramEnd"/>
    </w:p>
  </w:footnote>
  <w:footnote w:id="29">
    <w:p w:rsidR="000C2862" w:rsidRDefault="000C2862">
      <w:pPr>
        <w:pStyle w:val="FootnoteText"/>
      </w:pPr>
      <w:r>
        <w:rPr>
          <w:rStyle w:val="FootnoteReference"/>
        </w:rPr>
        <w:footnoteRef/>
      </w:r>
      <w:r>
        <w:t xml:space="preserve"> </w:t>
      </w:r>
      <w:r>
        <w:tab/>
      </w:r>
      <w:r w:rsidRPr="00155483">
        <w:rPr>
          <w:rFonts w:cs="Times New Roman"/>
          <w:i/>
        </w:rPr>
        <w:t xml:space="preserve">See </w:t>
      </w:r>
      <w:r>
        <w:t xml:space="preserve">H.R. 4173, Tit. IX, </w:t>
      </w:r>
      <w:r w:rsidRPr="00267513">
        <w:rPr>
          <w:rStyle w:val="apple-style-span"/>
          <w:rFonts w:cs="Times New Roman"/>
        </w:rPr>
        <w:t>§</w:t>
      </w:r>
      <w:r>
        <w:rPr>
          <w:rStyle w:val="apple-style-span"/>
          <w:rFonts w:cs="Times New Roman"/>
        </w:rPr>
        <w:t>§971-972.</w:t>
      </w:r>
    </w:p>
  </w:footnote>
  <w:footnote w:id="30">
    <w:p w:rsidR="000C2862" w:rsidRDefault="000C2862" w:rsidP="009F4385">
      <w:pPr>
        <w:pStyle w:val="FootnoteText"/>
      </w:pPr>
      <w:r>
        <w:rPr>
          <w:rStyle w:val="FootnoteReference"/>
        </w:rPr>
        <w:footnoteRef/>
      </w:r>
      <w:r>
        <w:t xml:space="preserve"> </w:t>
      </w:r>
      <w:r>
        <w:tab/>
        <w:t xml:space="preserve">For those interested in the “Federalization” of corporate law, see Leo E. </w:t>
      </w:r>
      <w:proofErr w:type="spellStart"/>
      <w:r>
        <w:t>Strine</w:t>
      </w:r>
      <w:proofErr w:type="spellEnd"/>
      <w:r>
        <w:t xml:space="preserve"> Jr., </w:t>
      </w:r>
      <w:r w:rsidRPr="00AF442C">
        <w:rPr>
          <w:i/>
        </w:rPr>
        <w:t>Breaking the Corporate Governance Logjam in Washington</w:t>
      </w:r>
      <w:r>
        <w:t xml:space="preserve">, 63:4 </w:t>
      </w:r>
      <w:proofErr w:type="spellStart"/>
      <w:r>
        <w:t>Bus.Law</w:t>
      </w:r>
      <w:proofErr w:type="spellEnd"/>
      <w:r>
        <w:t xml:space="preserve"> 1073 (Aug. 2008).</w:t>
      </w:r>
    </w:p>
  </w:footnote>
  <w:footnote w:id="31">
    <w:p w:rsidR="000C2862" w:rsidRDefault="000C2862">
      <w:pPr>
        <w:pStyle w:val="FootnoteText"/>
      </w:pPr>
      <w:r>
        <w:rPr>
          <w:rStyle w:val="FootnoteReference"/>
        </w:rPr>
        <w:footnoteRef/>
      </w:r>
      <w:r>
        <w:t xml:space="preserve"> </w:t>
      </w:r>
      <w:r>
        <w:tab/>
        <w:t xml:space="preserve">ULPA was enacted as Senate Bill 1132, which was authored by Senators Patrick Anderson and Tom </w:t>
      </w:r>
      <w:proofErr w:type="spellStart"/>
      <w:r>
        <w:t>Ivester</w:t>
      </w:r>
      <w:proofErr w:type="spellEnd"/>
      <w:r>
        <w:t xml:space="preserve"> and Representative Ben </w:t>
      </w:r>
      <w:proofErr w:type="spellStart"/>
      <w:r>
        <w:t>Sherrer</w:t>
      </w:r>
      <w:proofErr w:type="spellEnd"/>
      <w:r>
        <w:t xml:space="preserve">.  ULPA was first enacted in 2008 when it was combined in Senate Bill 1708 with the </w:t>
      </w:r>
      <w:r w:rsidRPr="002726C2">
        <w:t>Uniform Anatomical Gift Act</w:t>
      </w:r>
      <w:r>
        <w:t xml:space="preserve">, </w:t>
      </w:r>
      <w:r w:rsidRPr="002726C2">
        <w:t>the Uniform Limited Cooperative Association Act, amendments to Articles 3 and 4 of the Uniform Commercial Code, and amendments to the Oklahoma Trust Act (formerly in Senate Bill 975).</w:t>
      </w:r>
      <w:r>
        <w:t xml:space="preserve">  </w:t>
      </w:r>
      <w:r w:rsidRPr="005E4992">
        <w:t>Th</w:t>
      </w:r>
      <w:r>
        <w:t>e</w:t>
      </w:r>
      <w:r w:rsidRPr="005E4992">
        <w:t xml:space="preserve"> </w:t>
      </w:r>
      <w:r>
        <w:t xml:space="preserve">combination of these acts and amendments in a single bill </w:t>
      </w:r>
      <w:r w:rsidRPr="005E4992">
        <w:t xml:space="preserve">immediately raised questions about </w:t>
      </w:r>
      <w:r>
        <w:t xml:space="preserve">whether the bill comported with the </w:t>
      </w:r>
      <w:r w:rsidRPr="005E4992">
        <w:t>constitutional “one subject requirement”</w:t>
      </w:r>
      <w:r>
        <w:t xml:space="preserve">.  </w:t>
      </w:r>
      <w:r w:rsidRPr="005E4992">
        <w:t xml:space="preserve">Suit was filed in September 2008 and, on November 24, 2008, the Oklahoma Supreme Court invalidated the bill as “facially contrary” to the </w:t>
      </w:r>
      <w:r>
        <w:t xml:space="preserve">constitutional provision.  </w:t>
      </w:r>
      <w:proofErr w:type="spellStart"/>
      <w:r w:rsidRPr="005E4992">
        <w:rPr>
          <w:i/>
        </w:rPr>
        <w:t>Weddington</w:t>
      </w:r>
      <w:proofErr w:type="spellEnd"/>
      <w:r w:rsidRPr="005E4992">
        <w:rPr>
          <w:i/>
        </w:rPr>
        <w:t xml:space="preserve"> v. Henry et al</w:t>
      </w:r>
      <w:r w:rsidRPr="005E4992">
        <w:t>, 2008 OK 102, 202 P.3d 143.</w:t>
      </w:r>
    </w:p>
  </w:footnote>
  <w:footnote w:id="32">
    <w:p w:rsidR="000C2862" w:rsidRDefault="000C2862">
      <w:pPr>
        <w:pStyle w:val="FootnoteText"/>
      </w:pPr>
      <w:r>
        <w:rPr>
          <w:rStyle w:val="FootnoteReference"/>
        </w:rPr>
        <w:footnoteRef/>
      </w:r>
      <w:r>
        <w:t xml:space="preserve"> </w:t>
      </w:r>
      <w:r>
        <w:tab/>
        <w:t xml:space="preserve">ULPA has transition provisions that stage its application.  </w:t>
      </w:r>
      <w:proofErr w:type="gramStart"/>
      <w:r w:rsidR="006C3B30">
        <w:t xml:space="preserve">54 O.S. </w:t>
      </w:r>
      <w:r w:rsidR="006C3B30">
        <w:rPr>
          <w:rFonts w:cs="Times New Roman"/>
        </w:rPr>
        <w:t>§</w:t>
      </w:r>
      <w:r w:rsidR="006C3B30" w:rsidRPr="00D552BE">
        <w:t>500-1</w:t>
      </w:r>
      <w:r w:rsidR="006C3B30">
        <w:t>203</w:t>
      </w:r>
      <w:r w:rsidR="006C3B30" w:rsidRPr="00D552BE">
        <w:t>A.</w:t>
      </w:r>
      <w:proofErr w:type="gramEnd"/>
      <w:r w:rsidR="006C3B30" w:rsidRPr="00D552BE">
        <w:t xml:space="preserve">  </w:t>
      </w:r>
      <w:r>
        <w:t xml:space="preserve">Before July 31, 2011, it applies to limited partnerships formed after January 1, 2011, and to limited partnerships formed earlier if they so elect.  It applies to all limited partnerships after July 31, 2011, except for limited partnerships formed before January 1, 2011, that elect to be governed by the predecessor act. </w:t>
      </w:r>
    </w:p>
  </w:footnote>
  <w:footnote w:id="33">
    <w:p w:rsidR="000C2862" w:rsidRDefault="000C2862">
      <w:pPr>
        <w:pStyle w:val="FootnoteText"/>
      </w:pPr>
      <w:r>
        <w:rPr>
          <w:rStyle w:val="FootnoteReference"/>
        </w:rPr>
        <w:footnoteRef/>
      </w:r>
      <w:r>
        <w:t xml:space="preserve"> </w:t>
      </w:r>
      <w:r>
        <w:tab/>
        <w:t>Oklahoma has always provided for limited partnerships.  The earliest statutes were derived from the Field Code as enacted in the Dakota Territories (</w:t>
      </w:r>
      <w:proofErr w:type="spellStart"/>
      <w:r>
        <w:t>Comp.Laws</w:t>
      </w:r>
      <w:proofErr w:type="spellEnd"/>
      <w:r>
        <w:t xml:space="preserve"> Dakota 1887, </w:t>
      </w:r>
      <w:r>
        <w:rPr>
          <w:rFonts w:cs="Times New Roman"/>
        </w:rPr>
        <w:t>§§4072 - 4096</w:t>
      </w:r>
      <w:r>
        <w:t xml:space="preserve">), which provided for “special partnerships” with at least one general partner and at least one special partner, whose liability was limited to the special partner’s partnership capital.  </w:t>
      </w:r>
      <w:proofErr w:type="gramStart"/>
      <w:r>
        <w:t xml:space="preserve">54 O.S. </w:t>
      </w:r>
      <w:r>
        <w:rPr>
          <w:rFonts w:cs="Times New Roman"/>
        </w:rPr>
        <w:t>§§</w:t>
      </w:r>
      <w:r>
        <w:t>101 – 125 (1951).</w:t>
      </w:r>
      <w:proofErr w:type="gramEnd"/>
      <w:r>
        <w:t xml:space="preserve">  The special partnership statutes were repealed in 1951 with </w:t>
      </w:r>
      <w:r w:rsidR="00BD6A34">
        <w:t xml:space="preserve">Oklahoma’s </w:t>
      </w:r>
      <w:r>
        <w:t xml:space="preserve">adoption of the Uniform Limited Partnership Act (1916).  </w:t>
      </w:r>
      <w:proofErr w:type="gramStart"/>
      <w:r>
        <w:t xml:space="preserve">54 O.S. </w:t>
      </w:r>
      <w:r>
        <w:rPr>
          <w:rFonts w:cs="Times New Roman"/>
        </w:rPr>
        <w:t>§§</w:t>
      </w:r>
      <w:r>
        <w:t>141 – 181 (</w:t>
      </w:r>
      <w:r w:rsidR="00BD6A34">
        <w:t>2000</w:t>
      </w:r>
      <w:r>
        <w:t>).</w:t>
      </w:r>
      <w:proofErr w:type="gramEnd"/>
      <w:r>
        <w:t xml:space="preserve">  ULPA (1916) was replaced in 1976 by the Revised Uniform Limited Partnership Act (1976).  </w:t>
      </w:r>
      <w:proofErr w:type="gramStart"/>
      <w:r>
        <w:t xml:space="preserve">54 O.S. </w:t>
      </w:r>
      <w:r>
        <w:rPr>
          <w:rFonts w:cs="Times New Roman"/>
        </w:rPr>
        <w:t>§§3</w:t>
      </w:r>
      <w:r>
        <w:t>01 – 365 (20</w:t>
      </w:r>
      <w:r w:rsidR="00B91A2E">
        <w:t>0</w:t>
      </w:r>
      <w:r>
        <w:t>0).</w:t>
      </w:r>
      <w:proofErr w:type="gramEnd"/>
      <w:r>
        <w:t xml:space="preserve">  </w:t>
      </w:r>
    </w:p>
  </w:footnote>
  <w:footnote w:id="34">
    <w:p w:rsidR="000C2862" w:rsidRDefault="000C2862" w:rsidP="00B77B38">
      <w:pPr>
        <w:pStyle w:val="FootnoteText"/>
        <w:spacing w:before="240"/>
      </w:pPr>
      <w:r>
        <w:rPr>
          <w:rStyle w:val="FootnoteReference"/>
        </w:rPr>
        <w:footnoteRef/>
      </w:r>
      <w:r>
        <w:t xml:space="preserve"> </w:t>
      </w:r>
      <w:r>
        <w:tab/>
      </w:r>
      <w:r w:rsidRPr="00457943">
        <w:rPr>
          <w:i/>
        </w:rPr>
        <w:t>See Summary of the Uniform Limited Partnership Act</w:t>
      </w:r>
      <w:r>
        <w:t xml:space="preserve"> (2001) (avail. at </w:t>
      </w:r>
      <w:hyperlink r:id="rId8" w:history="1">
        <w:r w:rsidRPr="00820A54">
          <w:rPr>
            <w:rStyle w:val="Hyperlink"/>
          </w:rPr>
          <w:t>http://www.nccusl.org/</w:t>
        </w:r>
        <w:r w:rsidRPr="00820A54">
          <w:rPr>
            <w:rStyle w:val="Hyperlink"/>
          </w:rPr>
          <w:br/>
        </w:r>
        <w:proofErr w:type="spellStart"/>
        <w:r w:rsidRPr="00820A54">
          <w:rPr>
            <w:rStyle w:val="Hyperlink"/>
          </w:rPr>
          <w:t>nccusl</w:t>
        </w:r>
        <w:proofErr w:type="spellEnd"/>
        <w:r w:rsidRPr="00820A54">
          <w:rPr>
            <w:rStyle w:val="Hyperlink"/>
          </w:rPr>
          <w:t>/</w:t>
        </w:r>
        <w:proofErr w:type="spellStart"/>
        <w:r w:rsidRPr="00820A54">
          <w:rPr>
            <w:rStyle w:val="Hyperlink"/>
          </w:rPr>
          <w:t>uniformact_summaries</w:t>
        </w:r>
        <w:proofErr w:type="spellEnd"/>
        <w:r w:rsidRPr="00820A54">
          <w:rPr>
            <w:rStyle w:val="Hyperlink"/>
          </w:rPr>
          <w:t>/uniformacts-s-ulpa.asp</w:t>
        </w:r>
      </w:hyperlink>
      <w:r>
        <w:t xml:space="preserve">); and </w:t>
      </w:r>
      <w:r w:rsidRPr="00EA0941">
        <w:t>Daniel S.</w:t>
      </w:r>
      <w:r>
        <w:t xml:space="preserve"> </w:t>
      </w:r>
      <w:proofErr w:type="spellStart"/>
      <w:r w:rsidRPr="00EA0941">
        <w:t>Kleinberger</w:t>
      </w:r>
      <w:proofErr w:type="spellEnd"/>
      <w:r w:rsidRPr="00EA0941">
        <w:t xml:space="preserve">, </w:t>
      </w:r>
      <w:r w:rsidRPr="00EA0941">
        <w:rPr>
          <w:i/>
        </w:rPr>
        <w:t>A User’s Guide to the New Uniform Limited Partnership Act</w:t>
      </w:r>
      <w:r w:rsidRPr="00EA0941">
        <w:t>, 37 Suffolk. Univ. L. Rev 583 (2004)</w:t>
      </w:r>
      <w:r>
        <w:t xml:space="preserve"> (Professor </w:t>
      </w:r>
      <w:proofErr w:type="spellStart"/>
      <w:r>
        <w:t>Kleinberger</w:t>
      </w:r>
      <w:proofErr w:type="spellEnd"/>
      <w:r>
        <w:t xml:space="preserve"> was the Reporter for the NCCUSL Drafting Committee on the Limited Partnership Act). </w:t>
      </w:r>
    </w:p>
  </w:footnote>
  <w:footnote w:id="35">
    <w:p w:rsidR="000C2862" w:rsidRDefault="000C2862">
      <w:pPr>
        <w:pStyle w:val="FootnoteText"/>
      </w:pPr>
      <w:r>
        <w:rPr>
          <w:rStyle w:val="FootnoteReference"/>
        </w:rPr>
        <w:footnoteRef/>
      </w:r>
      <w:r>
        <w:t xml:space="preserve"> </w:t>
      </w:r>
      <w:r>
        <w:tab/>
        <w:t xml:space="preserve">Enacted in Oklahoma as the Oklahoma Revised Uniform Partnership Act, 54 O.S. </w:t>
      </w:r>
      <w:r>
        <w:rPr>
          <w:rFonts w:cs="Times New Roman"/>
        </w:rPr>
        <w:t xml:space="preserve">§1-100 </w:t>
      </w:r>
      <w:r w:rsidRPr="00DC4687">
        <w:rPr>
          <w:rFonts w:cs="Times New Roman"/>
          <w:i/>
        </w:rPr>
        <w:t>et seq</w:t>
      </w:r>
      <w:r>
        <w:rPr>
          <w:rFonts w:cs="Times New Roman"/>
        </w:rPr>
        <w:t>.</w:t>
      </w:r>
    </w:p>
  </w:footnote>
  <w:footnote w:id="36">
    <w:p w:rsidR="000C2862" w:rsidRDefault="000C2862">
      <w:pPr>
        <w:pStyle w:val="FootnoteText"/>
      </w:pPr>
      <w:r>
        <w:rPr>
          <w:rStyle w:val="FootnoteReference"/>
        </w:rPr>
        <w:footnoteRef/>
      </w:r>
      <w:r>
        <w:t xml:space="preserve"> </w:t>
      </w:r>
      <w:r>
        <w:tab/>
        <w:t xml:space="preserve">RULPA stated, </w:t>
      </w:r>
      <w:r>
        <w:rPr>
          <w:rFonts w:cs="Times New Roman"/>
        </w:rPr>
        <w:t xml:space="preserve">“In any case not provided for in this act, the provisions of the </w:t>
      </w:r>
      <w:r>
        <w:t>Oklahoma Revised Uniform Partnership Act</w:t>
      </w:r>
      <w:r>
        <w:rPr>
          <w:rFonts w:cs="Times New Roman"/>
        </w:rPr>
        <w:t xml:space="preserve"> govern.”</w:t>
      </w:r>
      <w:r>
        <w:t xml:space="preserve"> </w:t>
      </w:r>
      <w:proofErr w:type="gramStart"/>
      <w:r>
        <w:t xml:space="preserve">54 O.S. </w:t>
      </w:r>
      <w:r>
        <w:rPr>
          <w:rFonts w:cs="Times New Roman"/>
        </w:rPr>
        <w:t>§363 (2000).</w:t>
      </w:r>
      <w:proofErr w:type="gramEnd"/>
      <w:r>
        <w:rPr>
          <w:rFonts w:cs="Times New Roman"/>
        </w:rPr>
        <w:t xml:space="preserve">  As an example of a case not provided for, RULPA stated that a general partner has the rights and powers and liabilities of a partner in a general partnership.  </w:t>
      </w:r>
      <w:proofErr w:type="gramStart"/>
      <w:r w:rsidRPr="0012436E">
        <w:rPr>
          <w:rFonts w:cs="Times New Roman"/>
          <w:i/>
        </w:rPr>
        <w:t>Id.</w:t>
      </w:r>
      <w:r>
        <w:rPr>
          <w:rFonts w:cs="Times New Roman"/>
        </w:rPr>
        <w:t xml:space="preserve"> at</w:t>
      </w:r>
      <w:r>
        <w:t xml:space="preserve"> </w:t>
      </w:r>
      <w:r>
        <w:rPr>
          <w:rFonts w:cs="Times New Roman"/>
        </w:rPr>
        <w:t>§325.</w:t>
      </w:r>
      <w:proofErr w:type="gramEnd"/>
    </w:p>
  </w:footnote>
  <w:footnote w:id="37">
    <w:p w:rsidR="000C2862" w:rsidRDefault="000C2862">
      <w:pPr>
        <w:pStyle w:val="FootnoteText"/>
      </w:pPr>
      <w:r>
        <w:rPr>
          <w:rStyle w:val="FootnoteReference"/>
        </w:rPr>
        <w:footnoteRef/>
      </w:r>
      <w:r>
        <w:t xml:space="preserve"> </w:t>
      </w:r>
      <w:r>
        <w:tab/>
        <w:t xml:space="preserve">As with other limited liability entities, the liability shield only protects against liability as a general partner, but not against liability for the general partner’s conduct.  Like LLC managers or corporate officers, a general partner remains liable for the torts that it commits. </w:t>
      </w:r>
    </w:p>
  </w:footnote>
  <w:footnote w:id="38">
    <w:p w:rsidR="000C2862" w:rsidRDefault="000C2862">
      <w:pPr>
        <w:pStyle w:val="FootnoteText"/>
      </w:pPr>
      <w:r>
        <w:rPr>
          <w:rStyle w:val="FootnoteReference"/>
        </w:rPr>
        <w:footnoteRef/>
      </w:r>
      <w:r>
        <w:t xml:space="preserve"> </w:t>
      </w:r>
      <w:r>
        <w:tab/>
      </w:r>
      <w:proofErr w:type="gramStart"/>
      <w:r>
        <w:t xml:space="preserve">54 O.S. </w:t>
      </w:r>
      <w:r>
        <w:rPr>
          <w:rFonts w:cs="Times New Roman"/>
        </w:rPr>
        <w:t>§</w:t>
      </w:r>
      <w:r w:rsidRPr="00D552BE">
        <w:t>500-108A.</w:t>
      </w:r>
      <w:proofErr w:type="gramEnd"/>
      <w:r w:rsidRPr="00D552BE">
        <w:t xml:space="preserve">  </w:t>
      </w:r>
    </w:p>
  </w:footnote>
  <w:footnote w:id="39">
    <w:p w:rsidR="000C2862" w:rsidRDefault="000C2862" w:rsidP="00751E89">
      <w:pPr>
        <w:pStyle w:val="FootnoteText"/>
      </w:pPr>
      <w:r>
        <w:rPr>
          <w:rStyle w:val="FootnoteReference"/>
        </w:rPr>
        <w:footnoteRef/>
      </w:r>
      <w:r>
        <w:t xml:space="preserve"> </w:t>
      </w:r>
      <w:r>
        <w:tab/>
        <w:t xml:space="preserve">Compare 54 O.S. </w:t>
      </w:r>
      <w:r>
        <w:rPr>
          <w:rFonts w:cs="Times New Roman"/>
        </w:rPr>
        <w:t xml:space="preserve">§500-303A (ULPA) with §320 (RULPA).  </w:t>
      </w:r>
    </w:p>
  </w:footnote>
  <w:footnote w:id="40">
    <w:p w:rsidR="000C2862" w:rsidRDefault="000C2862" w:rsidP="005C6CE3">
      <w:pPr>
        <w:pStyle w:val="FootnoteText"/>
      </w:pPr>
      <w:r>
        <w:rPr>
          <w:rStyle w:val="FootnoteReference"/>
        </w:rPr>
        <w:footnoteRef/>
      </w:r>
      <w:r>
        <w:t xml:space="preserve"> </w:t>
      </w:r>
      <w:r>
        <w:tab/>
        <w:t xml:space="preserve">Joseph J. </w:t>
      </w:r>
      <w:proofErr w:type="spellStart"/>
      <w:r>
        <w:t>Basile</w:t>
      </w:r>
      <w:proofErr w:type="spellEnd"/>
      <w:r>
        <w:t xml:space="preserve"> Jr., </w:t>
      </w:r>
      <w:r w:rsidRPr="009B72C9">
        <w:rPr>
          <w:i/>
        </w:rPr>
        <w:t>Limited Liability for Limited Partners:  An Argument for the Abolition of the Control Rule</w:t>
      </w:r>
      <w:r>
        <w:t xml:space="preserve">, 38 </w:t>
      </w:r>
      <w:proofErr w:type="spellStart"/>
      <w:r>
        <w:t>Vand</w:t>
      </w:r>
      <w:proofErr w:type="spellEnd"/>
      <w:r>
        <w:t xml:space="preserve">. L. Rev. 1199, 1201 (1985).  The list is at 54 O.S. </w:t>
      </w:r>
      <w:r>
        <w:rPr>
          <w:rFonts w:cs="Times New Roman"/>
        </w:rPr>
        <w:t>§320.B.</w:t>
      </w:r>
    </w:p>
  </w:footnote>
  <w:footnote w:id="41">
    <w:p w:rsidR="000C2862" w:rsidRDefault="000C2862">
      <w:pPr>
        <w:pStyle w:val="FootnoteText"/>
      </w:pPr>
      <w:r>
        <w:rPr>
          <w:rStyle w:val="FootnoteReference"/>
        </w:rPr>
        <w:footnoteRef/>
      </w:r>
      <w:r>
        <w:t xml:space="preserve"> </w:t>
      </w:r>
      <w:r>
        <w:tab/>
      </w:r>
      <w:proofErr w:type="gramStart"/>
      <w:r>
        <w:t xml:space="preserve">54 O.S. </w:t>
      </w:r>
      <w:r>
        <w:rPr>
          <w:rFonts w:cs="Times New Roman"/>
        </w:rPr>
        <w:t>§</w:t>
      </w:r>
      <w:r w:rsidRPr="00395594">
        <w:t>307.</w:t>
      </w:r>
      <w:proofErr w:type="gramEnd"/>
      <w:r w:rsidRPr="00395594">
        <w:t xml:space="preserve">  </w:t>
      </w:r>
    </w:p>
  </w:footnote>
  <w:footnote w:id="42">
    <w:p w:rsidR="000C2862" w:rsidRDefault="000C2862">
      <w:pPr>
        <w:pStyle w:val="FootnoteText"/>
      </w:pPr>
      <w:r>
        <w:rPr>
          <w:rStyle w:val="FootnoteReference"/>
        </w:rPr>
        <w:footnoteRef/>
      </w:r>
      <w:r>
        <w:t xml:space="preserve"> </w:t>
      </w:r>
      <w:r>
        <w:tab/>
      </w:r>
      <w:r w:rsidRPr="00407DE3">
        <w:rPr>
          <w:i/>
        </w:rPr>
        <w:t>Id.</w:t>
      </w:r>
      <w:r>
        <w:t xml:space="preserve"> at </w:t>
      </w:r>
      <w:r>
        <w:rPr>
          <w:rFonts w:cs="Times New Roman"/>
        </w:rPr>
        <w:t>§</w:t>
      </w:r>
      <w:r w:rsidRPr="00407DE3">
        <w:t xml:space="preserve">1-101(6). </w:t>
      </w:r>
    </w:p>
  </w:footnote>
  <w:footnote w:id="43">
    <w:p w:rsidR="000C2862" w:rsidRDefault="000C2862">
      <w:pPr>
        <w:pStyle w:val="FootnoteText"/>
      </w:pPr>
      <w:r>
        <w:rPr>
          <w:rStyle w:val="FootnoteReference"/>
        </w:rPr>
        <w:footnoteRef/>
      </w:r>
      <w:r>
        <w:t xml:space="preserve"> </w:t>
      </w:r>
      <w:r>
        <w:tab/>
      </w:r>
      <w:r w:rsidRPr="00407DE3">
        <w:rPr>
          <w:i/>
        </w:rPr>
        <w:t>Id.</w:t>
      </w:r>
      <w:r>
        <w:t xml:space="preserve"> at </w:t>
      </w:r>
      <w:r>
        <w:rPr>
          <w:rFonts w:cs="Times New Roman"/>
        </w:rPr>
        <w:t>§</w:t>
      </w:r>
      <w:r w:rsidRPr="00407DE3">
        <w:t>500-</w:t>
      </w:r>
      <w:proofErr w:type="gramStart"/>
      <w:r w:rsidRPr="00407DE3">
        <w:t>104A(</w:t>
      </w:r>
      <w:proofErr w:type="gramEnd"/>
      <w:r w:rsidRPr="00407DE3">
        <w:t>b).</w:t>
      </w:r>
      <w:r>
        <w:t xml:space="preserve"> </w:t>
      </w:r>
    </w:p>
  </w:footnote>
  <w:footnote w:id="44">
    <w:p w:rsidR="002178AA" w:rsidRDefault="002178AA">
      <w:pPr>
        <w:pStyle w:val="FootnoteText"/>
      </w:pPr>
      <w:r>
        <w:rPr>
          <w:rStyle w:val="FootnoteReference"/>
        </w:rPr>
        <w:footnoteRef/>
      </w:r>
      <w:r>
        <w:t xml:space="preserve"> </w:t>
      </w:r>
      <w:r>
        <w:tab/>
      </w:r>
      <w:proofErr w:type="gramStart"/>
      <w:r>
        <w:t xml:space="preserve">18 O.S. </w:t>
      </w:r>
      <w:r>
        <w:rPr>
          <w:rFonts w:cs="Times New Roman"/>
        </w:rPr>
        <w:t>§2002.</w:t>
      </w:r>
      <w:proofErr w:type="gramEnd"/>
      <w:r>
        <w:rPr>
          <w:rFonts w:cs="Times New Roman"/>
        </w:rPr>
        <w:t xml:space="preserve"> </w:t>
      </w:r>
    </w:p>
  </w:footnote>
  <w:footnote w:id="45">
    <w:p w:rsidR="000C2862" w:rsidRPr="00361961" w:rsidRDefault="000C2862">
      <w:pPr>
        <w:pStyle w:val="FootnoteText"/>
        <w:rPr>
          <w:rFonts w:cs="Times New Roman"/>
        </w:rPr>
      </w:pPr>
      <w:r>
        <w:rPr>
          <w:rStyle w:val="FootnoteReference"/>
        </w:rPr>
        <w:footnoteRef/>
      </w:r>
      <w:r>
        <w:t xml:space="preserve"> </w:t>
      </w:r>
      <w:r>
        <w:tab/>
      </w:r>
      <w:r w:rsidRPr="00361961">
        <w:t>The issue ar</w:t>
      </w:r>
      <w:r>
        <w:t>o</w:t>
      </w:r>
      <w:r w:rsidRPr="00361961">
        <w:t>se in Oklahoma</w:t>
      </w:r>
      <w:r>
        <w:t xml:space="preserve"> in a somewhat novel case</w:t>
      </w:r>
      <w:r w:rsidRPr="00361961">
        <w:t xml:space="preserve">.  </w:t>
      </w:r>
      <w:r w:rsidRPr="00361961">
        <w:rPr>
          <w:i/>
        </w:rPr>
        <w:t>Roby v. Day</w:t>
      </w:r>
      <w:r w:rsidRPr="00361961">
        <w:t>, 635 P.2d 611 (</w:t>
      </w:r>
      <w:proofErr w:type="spellStart"/>
      <w:r w:rsidRPr="00361961">
        <w:t>Okl</w:t>
      </w:r>
      <w:proofErr w:type="spellEnd"/>
      <w:r w:rsidRPr="00361961">
        <w:t xml:space="preserve">. 1981) dealt with a limited partnership that would purchase and distribute alcohol to private clubs for the personal consumption of its partners.  The </w:t>
      </w:r>
      <w:r>
        <w:t xml:space="preserve">arrangement was designed to circumvent the </w:t>
      </w:r>
      <w:r w:rsidRPr="00361961">
        <w:t>liquor law</w:t>
      </w:r>
      <w:r>
        <w:t xml:space="preserve"> requirement </w:t>
      </w:r>
      <w:r w:rsidRPr="00361961">
        <w:t xml:space="preserve">that a club patron </w:t>
      </w:r>
      <w:r>
        <w:t>must</w:t>
      </w:r>
      <w:r w:rsidRPr="00361961">
        <w:t xml:space="preserve"> drink only from his own bottle.  In rejecting the plan, the Oklahoma Supreme Court held that “</w:t>
      </w:r>
      <w:r w:rsidRPr="00361961">
        <w:rPr>
          <w:rStyle w:val="apple-style-span"/>
          <w:rFonts w:cs="Times New Roman"/>
          <w:color w:val="000000"/>
        </w:rPr>
        <w:t xml:space="preserve">the purchase of alcohol by a </w:t>
      </w:r>
      <w:r>
        <w:rPr>
          <w:rStyle w:val="apple-style-span"/>
          <w:rFonts w:cs="Times New Roman"/>
          <w:color w:val="000000"/>
        </w:rPr>
        <w:t>‘</w:t>
      </w:r>
      <w:r w:rsidRPr="00361961">
        <w:rPr>
          <w:rStyle w:val="apple-style-span"/>
          <w:rFonts w:cs="Times New Roman"/>
          <w:color w:val="000000"/>
        </w:rPr>
        <w:t>partnership</w:t>
      </w:r>
      <w:r>
        <w:rPr>
          <w:rStyle w:val="apple-style-span"/>
          <w:rFonts w:cs="Times New Roman"/>
          <w:color w:val="000000"/>
        </w:rPr>
        <w:t>’</w:t>
      </w:r>
      <w:r w:rsidRPr="00361961">
        <w:rPr>
          <w:rStyle w:val="apple-style-span"/>
          <w:rFonts w:cs="Times New Roman"/>
          <w:color w:val="000000"/>
        </w:rPr>
        <w:t xml:space="preserve"> for consumption by the individual partners without profit to the partnership is not an authorized purpose for the formation of a partnership</w:t>
      </w:r>
      <w:r>
        <w:rPr>
          <w:rStyle w:val="apple-style-span"/>
          <w:rFonts w:cs="Times New Roman"/>
          <w:color w:val="000000"/>
        </w:rPr>
        <w:t xml:space="preserve"> </w:t>
      </w:r>
      <w:proofErr w:type="gramStart"/>
      <w:r>
        <w:rPr>
          <w:rStyle w:val="apple-style-span"/>
          <w:rFonts w:cs="Times New Roman"/>
          <w:color w:val="000000"/>
        </w:rPr>
        <w:t>. . ..”</w:t>
      </w:r>
      <w:proofErr w:type="gramEnd"/>
      <w:r w:rsidRPr="00361961">
        <w:t xml:space="preserve"> </w:t>
      </w:r>
      <w:r>
        <w:t xml:space="preserve"> </w:t>
      </w:r>
      <w:proofErr w:type="gramStart"/>
      <w:r w:rsidRPr="00361961">
        <w:rPr>
          <w:i/>
        </w:rPr>
        <w:t>At</w:t>
      </w:r>
      <w:r w:rsidRPr="00361961">
        <w:t xml:space="preserve"> 613</w:t>
      </w:r>
      <w:r w:rsidRPr="00361961">
        <w:rPr>
          <w:rFonts w:cs="Times New Roman"/>
        </w:rPr>
        <w:t>.</w:t>
      </w:r>
      <w:proofErr w:type="gramEnd"/>
    </w:p>
  </w:footnote>
  <w:footnote w:id="46">
    <w:p w:rsidR="000C2862" w:rsidRDefault="000C2862">
      <w:pPr>
        <w:pStyle w:val="FootnoteText"/>
      </w:pPr>
      <w:r>
        <w:rPr>
          <w:rStyle w:val="FootnoteReference"/>
        </w:rPr>
        <w:footnoteRef/>
      </w:r>
      <w:r>
        <w:t xml:space="preserve"> </w:t>
      </w:r>
      <w:r>
        <w:tab/>
        <w:t xml:space="preserve">54 O.S. </w:t>
      </w:r>
      <w:r>
        <w:rPr>
          <w:rFonts w:cs="Times New Roman"/>
        </w:rPr>
        <w:t>§</w:t>
      </w:r>
      <w:r w:rsidRPr="00642825">
        <w:t>500-103A</w:t>
      </w:r>
      <w:r>
        <w:t xml:space="preserve"> (regarding an amendment for dissolution)</w:t>
      </w:r>
      <w:r w:rsidRPr="00642825">
        <w:t xml:space="preserve">; </w:t>
      </w:r>
      <w:r>
        <w:t xml:space="preserve">and </w:t>
      </w:r>
      <w:r>
        <w:rPr>
          <w:rFonts w:cs="Times New Roman"/>
        </w:rPr>
        <w:t>§</w:t>
      </w:r>
      <w:r w:rsidRPr="00642825">
        <w:t>500-203A</w:t>
      </w:r>
      <w:r>
        <w:t xml:space="preserve"> (regarding a statement of cessation).</w:t>
      </w:r>
    </w:p>
  </w:footnote>
  <w:footnote w:id="47">
    <w:p w:rsidR="000C2862" w:rsidRDefault="000C2862" w:rsidP="005463FA">
      <w:pPr>
        <w:pStyle w:val="FootnoteText"/>
      </w:pPr>
      <w:r>
        <w:rPr>
          <w:rStyle w:val="FootnoteReference"/>
        </w:rPr>
        <w:footnoteRef/>
      </w:r>
      <w:r>
        <w:t xml:space="preserve"> </w:t>
      </w:r>
      <w:r>
        <w:tab/>
        <w:t xml:space="preserve">The detailed dissolution provisions reduce the risk of a decision like </w:t>
      </w:r>
      <w:r w:rsidRPr="00892E01">
        <w:rPr>
          <w:rFonts w:eastAsia="Times New Roman" w:cs="Times New Roman"/>
          <w:i/>
          <w:iCs/>
        </w:rPr>
        <w:t>In re Midpoint Development, L.L.C</w:t>
      </w:r>
      <w:r w:rsidRPr="00892E01">
        <w:rPr>
          <w:rFonts w:eastAsia="Times New Roman" w:cs="Times New Roman"/>
        </w:rPr>
        <w:t>.</w:t>
      </w:r>
      <w:r>
        <w:t xml:space="preserve">, </w:t>
      </w:r>
      <w:r w:rsidRPr="00892E01">
        <w:t>2006 WL 3072688 (10</w:t>
      </w:r>
      <w:r w:rsidRPr="00892E01">
        <w:rPr>
          <w:vertAlign w:val="superscript"/>
        </w:rPr>
        <w:t>th</w:t>
      </w:r>
      <w:r w:rsidRPr="00892E01">
        <w:t xml:space="preserve"> Cir., Oct. 31, 2006)</w:t>
      </w:r>
      <w:r>
        <w:t>, in which the court held that an LLC ceased to exist, and could not wind up, after filing its articles of dissolution</w:t>
      </w:r>
      <w:r w:rsidRPr="00892E01">
        <w:t xml:space="preserve">.  </w:t>
      </w:r>
      <w:r>
        <w:t xml:space="preserve">The Oklahoma LLC Act was later amended to reverse the decision’s result and eliminate any ambiguity in the act’s dissolution provisions. </w:t>
      </w:r>
    </w:p>
  </w:footnote>
  <w:footnote w:id="48">
    <w:p w:rsidR="000C2862" w:rsidRDefault="000C2862">
      <w:pPr>
        <w:pStyle w:val="FootnoteText"/>
      </w:pPr>
      <w:r>
        <w:rPr>
          <w:rStyle w:val="FootnoteReference"/>
        </w:rPr>
        <w:footnoteRef/>
      </w:r>
      <w:r>
        <w:t xml:space="preserve"> </w:t>
      </w:r>
      <w:r>
        <w:tab/>
      </w:r>
      <w:proofErr w:type="gramStart"/>
      <w:r w:rsidRPr="00407DE3">
        <w:rPr>
          <w:i/>
        </w:rPr>
        <w:t>Id.</w:t>
      </w:r>
      <w:r>
        <w:t xml:space="preserve"> at </w:t>
      </w:r>
      <w:r>
        <w:rPr>
          <w:rFonts w:cs="Times New Roman"/>
        </w:rPr>
        <w:t>§311.</w:t>
      </w:r>
      <w:proofErr w:type="gramEnd"/>
    </w:p>
  </w:footnote>
  <w:footnote w:id="49">
    <w:p w:rsidR="000C2862" w:rsidRDefault="000C2862">
      <w:pPr>
        <w:pStyle w:val="FootnoteText"/>
      </w:pPr>
      <w:r>
        <w:rPr>
          <w:rStyle w:val="FootnoteReference"/>
        </w:rPr>
        <w:footnoteRef/>
      </w:r>
      <w:r>
        <w:t xml:space="preserve"> </w:t>
      </w:r>
      <w:r>
        <w:tab/>
      </w:r>
      <w:proofErr w:type="gramStart"/>
      <w:r w:rsidRPr="00407DE3">
        <w:rPr>
          <w:i/>
        </w:rPr>
        <w:t>Id.</w:t>
      </w:r>
      <w:r>
        <w:t xml:space="preserve"> at </w:t>
      </w:r>
      <w:r>
        <w:rPr>
          <w:rFonts w:cs="Times New Roman"/>
        </w:rPr>
        <w:t>§</w:t>
      </w:r>
      <w:r w:rsidRPr="00B64D30">
        <w:t>500-806A</w:t>
      </w:r>
      <w:r>
        <w:t>.</w:t>
      </w:r>
      <w:proofErr w:type="gramEnd"/>
      <w:r>
        <w:t xml:space="preserve">  The procedures are comparable to those in the Oklahoma General Corporation Act (at 18</w:t>
      </w:r>
      <w:r w:rsidRPr="00B64D30">
        <w:t xml:space="preserve"> </w:t>
      </w:r>
      <w:r>
        <w:t xml:space="preserve">O.S. </w:t>
      </w:r>
      <w:r>
        <w:rPr>
          <w:rFonts w:cs="Times New Roman"/>
        </w:rPr>
        <w:t>§§1100.1 through 1100.3), the Uniform Limited Liability Company Act (at §§807 and 808), and the Revised Model Business Corporation Act (at §§806 and 807)</w:t>
      </w:r>
      <w:r w:rsidRPr="00B64D30">
        <w:t>.</w:t>
      </w:r>
    </w:p>
  </w:footnote>
  <w:footnote w:id="50">
    <w:p w:rsidR="000C2862" w:rsidRDefault="000C2862">
      <w:pPr>
        <w:pStyle w:val="FootnoteText"/>
      </w:pPr>
      <w:r>
        <w:rPr>
          <w:rStyle w:val="FootnoteReference"/>
        </w:rPr>
        <w:footnoteRef/>
      </w:r>
      <w:r>
        <w:t xml:space="preserve"> </w:t>
      </w:r>
      <w:r>
        <w:tab/>
      </w:r>
      <w:r w:rsidRPr="00407DE3">
        <w:rPr>
          <w:i/>
        </w:rPr>
        <w:t>Id.</w:t>
      </w:r>
      <w:r>
        <w:t xml:space="preserve"> at </w:t>
      </w:r>
      <w:r>
        <w:rPr>
          <w:rFonts w:cs="Times New Roman"/>
        </w:rPr>
        <w:t>§</w:t>
      </w:r>
      <w:r w:rsidRPr="00B64D30">
        <w:t>500-</w:t>
      </w:r>
      <w:r>
        <w:t>601</w:t>
      </w:r>
      <w:r w:rsidRPr="00B64D30">
        <w:t>A</w:t>
      </w:r>
      <w:r>
        <w:t xml:space="preserve"> (for limited partners) and </w:t>
      </w:r>
      <w:r>
        <w:rPr>
          <w:rFonts w:cs="Times New Roman"/>
        </w:rPr>
        <w:t>§</w:t>
      </w:r>
      <w:r>
        <w:t>500-604A (for general partners).</w:t>
      </w:r>
    </w:p>
  </w:footnote>
  <w:footnote w:id="51">
    <w:p w:rsidR="000C2862" w:rsidRDefault="000C2862" w:rsidP="00242B9B">
      <w:pPr>
        <w:pStyle w:val="FootnoteText"/>
      </w:pPr>
      <w:r>
        <w:rPr>
          <w:rStyle w:val="FootnoteReference"/>
        </w:rPr>
        <w:footnoteRef/>
      </w:r>
      <w:r>
        <w:t xml:space="preserve"> </w:t>
      </w:r>
      <w:r>
        <w:tab/>
        <w:t xml:space="preserve">In estate planning, the valuation discounts used to reduce the value of property passing from one to another are enhanced if the statute restricts an owner’s ability to convert his/her interest into cash.  </w:t>
      </w:r>
    </w:p>
  </w:footnote>
  <w:footnote w:id="52">
    <w:p w:rsidR="000C2862" w:rsidRDefault="000C2862">
      <w:pPr>
        <w:pStyle w:val="FootnoteText"/>
      </w:pPr>
      <w:r>
        <w:rPr>
          <w:rStyle w:val="FootnoteReference"/>
        </w:rPr>
        <w:footnoteRef/>
      </w:r>
      <w:r>
        <w:t xml:space="preserve"> </w:t>
      </w:r>
      <w:r>
        <w:tab/>
        <w:t xml:space="preserve">The Oklahoma RULPA permitted general partner withdrawals.  </w:t>
      </w:r>
      <w:proofErr w:type="gramStart"/>
      <w:r w:rsidRPr="00407DE3">
        <w:rPr>
          <w:i/>
        </w:rPr>
        <w:t>Id.</w:t>
      </w:r>
      <w:r>
        <w:t xml:space="preserve"> at </w:t>
      </w:r>
      <w:r>
        <w:rPr>
          <w:rFonts w:cs="Times New Roman"/>
        </w:rPr>
        <w:t>§333.</w:t>
      </w:r>
      <w:proofErr w:type="gramEnd"/>
    </w:p>
  </w:footnote>
  <w:footnote w:id="53">
    <w:p w:rsidR="000C2862" w:rsidRDefault="000C2862">
      <w:pPr>
        <w:pStyle w:val="FootnoteText"/>
      </w:pPr>
      <w:r>
        <w:rPr>
          <w:rStyle w:val="FootnoteReference"/>
        </w:rPr>
        <w:footnoteRef/>
      </w:r>
      <w:r>
        <w:t xml:space="preserve"> </w:t>
      </w:r>
      <w:r>
        <w:tab/>
        <w:t xml:space="preserve">The Oklahoma RULPA provided that a general partner would receive fair value.  </w:t>
      </w:r>
      <w:proofErr w:type="gramStart"/>
      <w:r w:rsidRPr="00407DE3">
        <w:rPr>
          <w:i/>
        </w:rPr>
        <w:t>Id.</w:t>
      </w:r>
      <w:r>
        <w:t xml:space="preserve"> at </w:t>
      </w:r>
      <w:r>
        <w:rPr>
          <w:rFonts w:cs="Times New Roman"/>
        </w:rPr>
        <w:t>§335.</w:t>
      </w:r>
      <w:proofErr w:type="gramEnd"/>
      <w:r>
        <w:rPr>
          <w:rFonts w:cs="Times New Roman"/>
        </w:rPr>
        <w:t xml:space="preserve">  The act provided that limited partners who withdraw wrongfully would be subject to damages, but the partnership could not seek equitable relief to prevent a withdrawal</w:t>
      </w:r>
      <w:r w:rsidR="003C7834">
        <w:rPr>
          <w:rFonts w:cs="Times New Roman"/>
        </w:rPr>
        <w:t>,</w:t>
      </w:r>
      <w:r>
        <w:rPr>
          <w:rFonts w:cs="Times New Roman"/>
        </w:rPr>
        <w:t xml:space="preserve"> and the wrongfully withdrawing limited partner would presumably receive the fair value of its interest reduced by any damages.  </w:t>
      </w:r>
      <w:proofErr w:type="gramStart"/>
      <w:r w:rsidRPr="00A6447F">
        <w:rPr>
          <w:rFonts w:cs="Times New Roman"/>
          <w:i/>
        </w:rPr>
        <w:t>See</w:t>
      </w:r>
      <w:r>
        <w:rPr>
          <w:rFonts w:cs="Times New Roman"/>
          <w:i/>
        </w:rPr>
        <w:t xml:space="preserve"> id</w:t>
      </w:r>
      <w:r>
        <w:rPr>
          <w:rFonts w:cs="Times New Roman"/>
        </w:rPr>
        <w:t xml:space="preserve"> at §§334 and 335.</w:t>
      </w:r>
      <w:proofErr w:type="gramEnd"/>
    </w:p>
  </w:footnote>
  <w:footnote w:id="54">
    <w:p w:rsidR="003C7834" w:rsidRDefault="003C7834">
      <w:pPr>
        <w:pStyle w:val="FootnoteText"/>
      </w:pPr>
      <w:r>
        <w:rPr>
          <w:rStyle w:val="FootnoteReference"/>
        </w:rPr>
        <w:footnoteRef/>
      </w:r>
      <w:r>
        <w:t xml:space="preserve"> </w:t>
      </w:r>
      <w:r>
        <w:tab/>
      </w:r>
      <w:r w:rsidRPr="00407DE3">
        <w:rPr>
          <w:i/>
        </w:rPr>
        <w:t>Id.</w:t>
      </w:r>
      <w:r>
        <w:t xml:space="preserve"> at </w:t>
      </w:r>
      <w:r>
        <w:rPr>
          <w:rFonts w:cs="Times New Roman"/>
        </w:rPr>
        <w:t>§</w:t>
      </w:r>
      <w:r w:rsidRPr="00B64D30">
        <w:t>500-</w:t>
      </w:r>
      <w:r>
        <w:t>602</w:t>
      </w:r>
      <w:r w:rsidRPr="00B64D30">
        <w:t>A</w:t>
      </w:r>
      <w:r>
        <w:t xml:space="preserve"> (for limited partners) and </w:t>
      </w:r>
      <w:r>
        <w:rPr>
          <w:rFonts w:cs="Times New Roman"/>
        </w:rPr>
        <w:t>§</w:t>
      </w:r>
      <w:r>
        <w:t>500-605A (for general partners).</w:t>
      </w:r>
    </w:p>
  </w:footnote>
  <w:footnote w:id="55">
    <w:p w:rsidR="000C2862" w:rsidRDefault="000C2862">
      <w:pPr>
        <w:pStyle w:val="FootnoteText"/>
      </w:pPr>
      <w:r>
        <w:rPr>
          <w:rStyle w:val="FootnoteReference"/>
        </w:rPr>
        <w:footnoteRef/>
      </w:r>
      <w:r>
        <w:t xml:space="preserve"> </w:t>
      </w:r>
      <w:r>
        <w:tab/>
      </w:r>
      <w:proofErr w:type="gramStart"/>
      <w:r w:rsidRPr="00407DE3">
        <w:rPr>
          <w:i/>
        </w:rPr>
        <w:t>Id.</w:t>
      </w:r>
      <w:r>
        <w:t xml:space="preserve"> at </w:t>
      </w:r>
      <w:r>
        <w:rPr>
          <w:rFonts w:cs="Times New Roman"/>
        </w:rPr>
        <w:t>§345.</w:t>
      </w:r>
      <w:proofErr w:type="gramEnd"/>
    </w:p>
  </w:footnote>
  <w:footnote w:id="56">
    <w:p w:rsidR="000C2862" w:rsidRDefault="000C2862">
      <w:pPr>
        <w:pStyle w:val="FootnoteText"/>
      </w:pPr>
      <w:r>
        <w:rPr>
          <w:rStyle w:val="FootnoteReference"/>
        </w:rPr>
        <w:footnoteRef/>
      </w:r>
      <w:r>
        <w:t xml:space="preserve"> </w:t>
      </w:r>
      <w:r>
        <w:tab/>
      </w:r>
      <w:proofErr w:type="gramStart"/>
      <w:r w:rsidRPr="00407DE3">
        <w:rPr>
          <w:i/>
        </w:rPr>
        <w:t>Id.</w:t>
      </w:r>
      <w:r>
        <w:t xml:space="preserve"> at </w:t>
      </w:r>
      <w:r>
        <w:rPr>
          <w:rFonts w:cs="Times New Roman"/>
        </w:rPr>
        <w:t>§500-801A.</w:t>
      </w:r>
      <w:proofErr w:type="gramEnd"/>
    </w:p>
  </w:footnote>
  <w:footnote w:id="57">
    <w:p w:rsidR="000C2862" w:rsidRDefault="000C2862">
      <w:pPr>
        <w:pStyle w:val="FootnoteText"/>
      </w:pPr>
      <w:r>
        <w:rPr>
          <w:rStyle w:val="FootnoteReference"/>
        </w:rPr>
        <w:footnoteRef/>
      </w:r>
      <w:r>
        <w:t xml:space="preserve"> </w:t>
      </w:r>
      <w:r>
        <w:tab/>
      </w:r>
      <w:proofErr w:type="gramStart"/>
      <w:r w:rsidRPr="00407DE3">
        <w:rPr>
          <w:i/>
        </w:rPr>
        <w:t>Id.</w:t>
      </w:r>
      <w:r>
        <w:t xml:space="preserve"> at </w:t>
      </w:r>
      <w:r>
        <w:rPr>
          <w:rFonts w:cs="Times New Roman"/>
        </w:rPr>
        <w:t>§345.</w:t>
      </w:r>
      <w:proofErr w:type="gramEnd"/>
    </w:p>
  </w:footnote>
  <w:footnote w:id="58">
    <w:p w:rsidR="000C2862" w:rsidRDefault="000C2862">
      <w:pPr>
        <w:pStyle w:val="FootnoteText"/>
      </w:pPr>
      <w:r>
        <w:rPr>
          <w:rStyle w:val="FootnoteReference"/>
        </w:rPr>
        <w:footnoteRef/>
      </w:r>
      <w:r>
        <w:t xml:space="preserve"> </w:t>
      </w:r>
      <w:r>
        <w:tab/>
      </w:r>
      <w:proofErr w:type="gramStart"/>
      <w:r w:rsidRPr="00407DE3">
        <w:rPr>
          <w:i/>
        </w:rPr>
        <w:t>Id.</w:t>
      </w:r>
      <w:r>
        <w:t xml:space="preserve"> at </w:t>
      </w:r>
      <w:r>
        <w:rPr>
          <w:rFonts w:cs="Times New Roman"/>
        </w:rPr>
        <w:t>§500-801A.</w:t>
      </w:r>
      <w:proofErr w:type="gramEnd"/>
      <w:r>
        <w:rPr>
          <w:rFonts w:cs="Times New Roman"/>
        </w:rPr>
        <w:t xml:space="preserve"> </w:t>
      </w:r>
    </w:p>
  </w:footnote>
  <w:footnote w:id="59">
    <w:p w:rsidR="000C2862" w:rsidRDefault="000C2862">
      <w:pPr>
        <w:pStyle w:val="FootnoteText"/>
      </w:pPr>
      <w:r>
        <w:rPr>
          <w:rStyle w:val="FootnoteReference"/>
        </w:rPr>
        <w:footnoteRef/>
      </w:r>
      <w:r>
        <w:t xml:space="preserve"> </w:t>
      </w:r>
      <w:r>
        <w:tab/>
      </w:r>
      <w:r w:rsidRPr="00407DE3">
        <w:rPr>
          <w:i/>
        </w:rPr>
        <w:t>Id.</w:t>
      </w:r>
      <w:r>
        <w:t xml:space="preserve"> at </w:t>
      </w:r>
      <w:r>
        <w:rPr>
          <w:rFonts w:cs="Times New Roman"/>
        </w:rPr>
        <w:t>§500-</w:t>
      </w:r>
      <w:proofErr w:type="gramStart"/>
      <w:r>
        <w:rPr>
          <w:rFonts w:cs="Times New Roman"/>
        </w:rPr>
        <w:t>408A(</w:t>
      </w:r>
      <w:proofErr w:type="gramEnd"/>
      <w:r>
        <w:rPr>
          <w:rFonts w:cs="Times New Roman"/>
        </w:rPr>
        <w:t>a).</w:t>
      </w:r>
    </w:p>
  </w:footnote>
  <w:footnote w:id="60">
    <w:p w:rsidR="000C2862" w:rsidRDefault="000C2862">
      <w:pPr>
        <w:pStyle w:val="FootnoteText"/>
      </w:pPr>
      <w:r>
        <w:rPr>
          <w:rStyle w:val="FootnoteReference"/>
        </w:rPr>
        <w:footnoteRef/>
      </w:r>
      <w:r>
        <w:t xml:space="preserve"> </w:t>
      </w:r>
      <w:r>
        <w:tab/>
      </w:r>
      <w:r w:rsidRPr="00407DE3">
        <w:rPr>
          <w:i/>
        </w:rPr>
        <w:t>Id.</w:t>
      </w:r>
      <w:r w:rsidRPr="00A46BD8">
        <w:t xml:space="preserve"> </w:t>
      </w:r>
      <w:r>
        <w:t xml:space="preserve">at </w:t>
      </w:r>
      <w:r>
        <w:rPr>
          <w:rFonts w:cs="Times New Roman"/>
        </w:rPr>
        <w:t>§500-</w:t>
      </w:r>
      <w:proofErr w:type="gramStart"/>
      <w:r>
        <w:rPr>
          <w:rFonts w:cs="Times New Roman"/>
        </w:rPr>
        <w:t>408A(</w:t>
      </w:r>
      <w:proofErr w:type="gramEnd"/>
      <w:r>
        <w:rPr>
          <w:rFonts w:cs="Times New Roman"/>
        </w:rPr>
        <w:t>b).</w:t>
      </w:r>
    </w:p>
  </w:footnote>
  <w:footnote w:id="61">
    <w:p w:rsidR="000C2862" w:rsidRDefault="000C2862">
      <w:pPr>
        <w:pStyle w:val="FootnoteText"/>
      </w:pPr>
      <w:r>
        <w:rPr>
          <w:rStyle w:val="FootnoteReference"/>
        </w:rPr>
        <w:footnoteRef/>
      </w:r>
      <w:r>
        <w:t xml:space="preserve"> </w:t>
      </w:r>
      <w:r>
        <w:tab/>
      </w:r>
      <w:proofErr w:type="gramStart"/>
      <w:r w:rsidRPr="00407DE3">
        <w:rPr>
          <w:i/>
        </w:rPr>
        <w:t>Id.</w:t>
      </w:r>
      <w:r>
        <w:t xml:space="preserve"> at </w:t>
      </w:r>
      <w:r>
        <w:rPr>
          <w:rFonts w:cs="Times New Roman"/>
        </w:rPr>
        <w:t>§</w:t>
      </w:r>
      <w:r w:rsidRPr="006F7F13">
        <w:t>500-110A</w:t>
      </w:r>
      <w:r>
        <w:t>.</w:t>
      </w:r>
      <w:proofErr w:type="gramEnd"/>
    </w:p>
  </w:footnote>
  <w:footnote w:id="62">
    <w:p w:rsidR="000C2862" w:rsidRDefault="000C2862">
      <w:pPr>
        <w:pStyle w:val="FootnoteText"/>
      </w:pPr>
      <w:r>
        <w:rPr>
          <w:rStyle w:val="FootnoteReference"/>
        </w:rPr>
        <w:footnoteRef/>
      </w:r>
      <w:r>
        <w:t xml:space="preserve"> </w:t>
      </w:r>
      <w:r>
        <w:tab/>
      </w:r>
      <w:r w:rsidRPr="00407DE3">
        <w:rPr>
          <w:i/>
        </w:rPr>
        <w:t>Id.</w:t>
      </w:r>
      <w:r>
        <w:t xml:space="preserve"> </w:t>
      </w:r>
    </w:p>
  </w:footnote>
  <w:footnote w:id="63">
    <w:p w:rsidR="000C2862" w:rsidRDefault="000C2862">
      <w:pPr>
        <w:pStyle w:val="FootnoteText"/>
        <w:rPr>
          <w:rFonts w:cs="Times New Roman"/>
        </w:rPr>
      </w:pPr>
      <w:r>
        <w:rPr>
          <w:rStyle w:val="FootnoteReference"/>
        </w:rPr>
        <w:footnoteRef/>
      </w:r>
      <w:r>
        <w:t xml:space="preserve"> </w:t>
      </w:r>
      <w:r>
        <w:tab/>
      </w:r>
      <w:r w:rsidRPr="00407DE3">
        <w:rPr>
          <w:i/>
        </w:rPr>
        <w:t>Id.</w:t>
      </w:r>
      <w:r>
        <w:t xml:space="preserve"> at </w:t>
      </w:r>
      <w:r>
        <w:rPr>
          <w:rFonts w:cs="Times New Roman"/>
        </w:rPr>
        <w:t>§500-</w:t>
      </w:r>
      <w:proofErr w:type="gramStart"/>
      <w:r>
        <w:rPr>
          <w:rFonts w:cs="Times New Roman"/>
        </w:rPr>
        <w:t>408A(</w:t>
      </w:r>
      <w:proofErr w:type="gramEnd"/>
      <w:r>
        <w:rPr>
          <w:rFonts w:cs="Times New Roman"/>
        </w:rPr>
        <w:t>d).</w:t>
      </w:r>
      <w:r w:rsidRPr="0085082F">
        <w:t xml:space="preserve"> </w:t>
      </w:r>
      <w:r>
        <w:t xml:space="preserve"> Professor </w:t>
      </w:r>
      <w:proofErr w:type="spellStart"/>
      <w:r>
        <w:t>Kleinberger</w:t>
      </w:r>
      <w:proofErr w:type="spellEnd"/>
      <w:r>
        <w:t xml:space="preserve"> explains the differences between the heightened fiduciary duties and the duty of good faith and fair dealing:</w:t>
      </w:r>
    </w:p>
    <w:p w:rsidR="000C2862" w:rsidRDefault="000C2862" w:rsidP="0085082F">
      <w:pPr>
        <w:pStyle w:val="FootnoteText"/>
        <w:ind w:left="1080" w:firstLine="0"/>
      </w:pPr>
      <w:r>
        <w:t xml:space="preserve">“When a partner deals with the partnership, fiduciary duty applies in full force.  However, when a partner deals with a fellow partner, undivided loyalty is neither possible nor required: </w:t>
      </w:r>
    </w:p>
    <w:p w:rsidR="000C2862" w:rsidRDefault="000C2862" w:rsidP="0085082F">
      <w:pPr>
        <w:pStyle w:val="FootnoteText"/>
        <w:ind w:left="1440" w:firstLine="0"/>
      </w:pPr>
      <w:proofErr w:type="gramStart"/>
      <w:r>
        <w:t>‘According to Cardozo, partner may not use tactics appropriate to ‘arm’s length’ transactions in their inter se dealings.</w:t>
      </w:r>
      <w:proofErr w:type="gramEnd"/>
      <w:r>
        <w:t xml:space="preserve">  But even if partners are never full at arm’s length, they are nonetheless occasionally on opposite sides of the negotiating table.  In such circumstances, self-interest is inherent and inevitable.  It therefore cannot be per se evil.’  [</w:t>
      </w:r>
      <w:proofErr w:type="spellStart"/>
      <w:r>
        <w:t>Kleinberger</w:t>
      </w:r>
      <w:proofErr w:type="spellEnd"/>
      <w:r>
        <w:t xml:space="preserve">, </w:t>
      </w:r>
      <w:r w:rsidRPr="00D40D71">
        <w:rPr>
          <w:i/>
        </w:rPr>
        <w:t>Agency, Partnership and LLCs</w:t>
      </w:r>
      <w:r>
        <w:t xml:space="preserve">, </w:t>
      </w:r>
      <w:r>
        <w:rPr>
          <w:rFonts w:cs="Times New Roman"/>
        </w:rPr>
        <w:t>§</w:t>
      </w:r>
      <w:r>
        <w:t>9.8.5, at 265 (2000)]</w:t>
      </w:r>
    </w:p>
    <w:p w:rsidR="000C2862" w:rsidRDefault="000C2862" w:rsidP="0085082F">
      <w:pPr>
        <w:pStyle w:val="FootnoteText"/>
        <w:ind w:left="1080" w:firstLine="0"/>
      </w:pPr>
      <w:r>
        <w:t xml:space="preserve">For an example of this reality, consider the partners in a law firm who, pursuant to a partnership agreement, decide annually how to share out a certain ‘bonus’ portion of the firm’s profits.  In this ‘zero sum game,’ some self-interest is inevitably in play.”  </w:t>
      </w:r>
      <w:r w:rsidRPr="00EA0941">
        <w:rPr>
          <w:i/>
        </w:rPr>
        <w:t>A User’s Guide to the New Uniform Limited Partnership Act</w:t>
      </w:r>
      <w:r w:rsidRPr="00EA0941">
        <w:t xml:space="preserve">, </w:t>
      </w:r>
      <w:r w:rsidRPr="003F1659">
        <w:rPr>
          <w:i/>
        </w:rPr>
        <w:t>supra</w:t>
      </w:r>
      <w:r>
        <w:t xml:space="preserve"> </w:t>
      </w:r>
      <w:proofErr w:type="gramStart"/>
      <w:r>
        <w:t>note</w:t>
      </w:r>
      <w:proofErr w:type="gramEnd"/>
      <w:r>
        <w:t xml:space="preserve"> 35 at 972.</w:t>
      </w:r>
    </w:p>
    <w:p w:rsidR="000C2862" w:rsidRDefault="000C2862" w:rsidP="0077645D">
      <w:pPr>
        <w:pStyle w:val="FootnoteText"/>
        <w:ind w:firstLine="0"/>
      </w:pPr>
      <w:r w:rsidRPr="007D1259">
        <w:rPr>
          <w:rFonts w:cs="Times New Roman"/>
        </w:rPr>
        <w:t xml:space="preserve">Distinguishing when a partner is dealing with the partnerships – and thus owes a heightened fiduciary duty – and when with a fellow partner – and thus owes only a duty of good faith and fair dealing – is relatively simple when the partnership has multiple partners.  Distinguishing between the two is more difficult when the partnership has only two partners.  The analysis is akin to distinguishing whether one partner’s claim against another partner is direct or derivative.  See </w:t>
      </w:r>
      <w:proofErr w:type="spellStart"/>
      <w:r w:rsidRPr="007D1259">
        <w:rPr>
          <w:rFonts w:eastAsia="Times New Roman" w:cs="Times New Roman"/>
          <w:i/>
          <w:iCs/>
        </w:rPr>
        <w:t>Tooley</w:t>
      </w:r>
      <w:proofErr w:type="spellEnd"/>
      <w:r w:rsidRPr="007D1259">
        <w:rPr>
          <w:rFonts w:eastAsia="Times New Roman" w:cs="Times New Roman"/>
          <w:i/>
          <w:iCs/>
        </w:rPr>
        <w:t xml:space="preserve"> </w:t>
      </w:r>
      <w:r w:rsidRPr="007D1259">
        <w:rPr>
          <w:rFonts w:eastAsia="Times New Roman" w:cs="Times New Roman"/>
        </w:rPr>
        <w:t xml:space="preserve">v. </w:t>
      </w:r>
      <w:r w:rsidRPr="007D1259">
        <w:rPr>
          <w:rFonts w:eastAsia="Times New Roman" w:cs="Times New Roman"/>
          <w:i/>
          <w:iCs/>
        </w:rPr>
        <w:t xml:space="preserve">Donaldson, Lufkin </w:t>
      </w:r>
      <w:r w:rsidRPr="007D1259">
        <w:rPr>
          <w:rFonts w:eastAsia="Times New Roman" w:cs="Times New Roman"/>
        </w:rPr>
        <w:t xml:space="preserve">&amp; </w:t>
      </w:r>
      <w:r w:rsidRPr="007D1259">
        <w:rPr>
          <w:rFonts w:eastAsia="Times New Roman" w:cs="Times New Roman"/>
          <w:i/>
          <w:iCs/>
        </w:rPr>
        <w:t xml:space="preserve">Jenrette, Inc., </w:t>
      </w:r>
      <w:r w:rsidRPr="007D1259">
        <w:rPr>
          <w:rFonts w:eastAsia="Times New Roman" w:cs="Times New Roman"/>
        </w:rPr>
        <w:t>845 A.2d 1031, 1033 (Del. 2004) (Whether a claim is derivative or direct “must turn solely on the following questions: (</w:t>
      </w:r>
      <w:proofErr w:type="spellStart"/>
      <w:r w:rsidRPr="007D1259">
        <w:rPr>
          <w:rFonts w:eastAsia="Times New Roman" w:cs="Times New Roman"/>
        </w:rPr>
        <w:t>i</w:t>
      </w:r>
      <w:proofErr w:type="spellEnd"/>
      <w:r w:rsidRPr="007D1259">
        <w:rPr>
          <w:rFonts w:eastAsia="Times New Roman" w:cs="Times New Roman"/>
        </w:rPr>
        <w:t>) who suffered the alleged harm (the corporation or the suing stockholders, individually); and (ii) who would receive the benefit of any recovery or other remedy (the corporation or the stockholders, individually)?”)</w:t>
      </w:r>
      <w:r w:rsidRPr="007D1259">
        <w:rPr>
          <w:rFonts w:cs="Times New Roman"/>
        </w:rPr>
        <w:t>.</w:t>
      </w:r>
      <w:r>
        <w:rPr>
          <w:rFonts w:cs="Times New Roman"/>
        </w:rPr>
        <w:t xml:space="preserve">  If a partner’s action would injure the partnership (all partners proportionately), the partner would owe a fiduciary duty.  If a partner’s action would injure one or some partners, but not other partners (excluding the acting partner), the partner would owe only a duty of good faith.</w:t>
      </w:r>
    </w:p>
  </w:footnote>
  <w:footnote w:id="64">
    <w:p w:rsidR="000C2862" w:rsidRDefault="000C2862" w:rsidP="001A0092">
      <w:pPr>
        <w:pStyle w:val="FootnoteText"/>
      </w:pPr>
      <w:r>
        <w:rPr>
          <w:rStyle w:val="FootnoteReference"/>
        </w:rPr>
        <w:footnoteRef/>
      </w:r>
      <w:r>
        <w:t xml:space="preserve"> </w:t>
      </w:r>
      <w:r>
        <w:tab/>
      </w:r>
      <w:r w:rsidRPr="00407DE3">
        <w:rPr>
          <w:i/>
        </w:rPr>
        <w:t>Id.</w:t>
      </w:r>
      <w:r>
        <w:t xml:space="preserve"> at </w:t>
      </w:r>
      <w:r>
        <w:rPr>
          <w:rFonts w:cs="Times New Roman"/>
        </w:rPr>
        <w:t>§</w:t>
      </w:r>
      <w:r w:rsidRPr="001A0092">
        <w:t>500-</w:t>
      </w:r>
      <w:proofErr w:type="gramStart"/>
      <w:r w:rsidRPr="001A0092">
        <w:t>305A(</w:t>
      </w:r>
      <w:proofErr w:type="gramEnd"/>
      <w:r w:rsidRPr="001A0092">
        <w:t>a)</w:t>
      </w:r>
      <w:r>
        <w:t xml:space="preserve"> and (b). </w:t>
      </w:r>
    </w:p>
  </w:footnote>
  <w:footnote w:id="65">
    <w:p w:rsidR="000C2862" w:rsidRPr="00C43632" w:rsidRDefault="000C2862" w:rsidP="00C43632">
      <w:pPr>
        <w:pStyle w:val="FootnoteText"/>
      </w:pPr>
      <w:r>
        <w:rPr>
          <w:rStyle w:val="FootnoteReference"/>
        </w:rPr>
        <w:footnoteRef/>
      </w:r>
      <w:r>
        <w:t xml:space="preserve"> </w:t>
      </w:r>
      <w:r>
        <w:tab/>
      </w:r>
      <w:r w:rsidRPr="00C43632">
        <w:rPr>
          <w:i/>
        </w:rPr>
        <w:t>See</w:t>
      </w:r>
      <w:r w:rsidRPr="00C43632">
        <w:rPr>
          <w:rFonts w:eastAsia="Times New Roman"/>
          <w:i/>
          <w:iCs/>
        </w:rPr>
        <w:t>, e.g.</w:t>
      </w:r>
      <w:r w:rsidRPr="00C43632">
        <w:rPr>
          <w:rFonts w:eastAsia="Times New Roman"/>
        </w:rPr>
        <w:t xml:space="preserve">, Jeffrey D. Bauman et al., </w:t>
      </w:r>
      <w:r w:rsidRPr="00C43632">
        <w:rPr>
          <w:rFonts w:eastAsia="Times New Roman"/>
          <w:i/>
        </w:rPr>
        <w:t>Corporations: Law and Policy</w:t>
      </w:r>
      <w:r w:rsidRPr="00C43632">
        <w:rPr>
          <w:rFonts w:eastAsia="Times New Roman"/>
        </w:rPr>
        <w:t xml:space="preserve"> 36 (6th ed. 2007) (“Although directors owe fiduciary duties, shareholders generally do not.”); and </w:t>
      </w:r>
      <w:r w:rsidRPr="00C43632">
        <w:t xml:space="preserve">Uniform Limited Liability Company Act (2006) </w:t>
      </w:r>
      <w:r w:rsidRPr="00C43632">
        <w:rPr>
          <w:rFonts w:cs="Times New Roman"/>
        </w:rPr>
        <w:t>§408</w:t>
      </w:r>
      <w:r w:rsidRPr="00C43632">
        <w:t>(g</w:t>
      </w:r>
      <w:proofErr w:type="gramStart"/>
      <w:r w:rsidRPr="00C43632">
        <w:t>)(</w:t>
      </w:r>
      <w:proofErr w:type="gramEnd"/>
      <w:r w:rsidRPr="00C43632">
        <w:t>5) (In a manager-managed LLC, “</w:t>
      </w:r>
      <w:r w:rsidRPr="00C43632">
        <w:rPr>
          <w:rStyle w:val="apple-style-span"/>
        </w:rPr>
        <w:t>A member does not have any fiduciary duty to the company or to any other member solely by reason of being a member.”)</w:t>
      </w:r>
      <w:r>
        <w:rPr>
          <w:rStyle w:val="apple-style-span"/>
        </w:rPr>
        <w:t xml:space="preserve">.  While shareholders, members and limited partners generally owe no fiduciary duties, they can become fiduciaries if they exercise control to the detriment of another, most commonly when majority owners use their position to the detriment of the minority owners.  </w:t>
      </w:r>
      <w:r w:rsidRPr="00C43632">
        <w:rPr>
          <w:rStyle w:val="apple-style-span"/>
          <w:i/>
        </w:rPr>
        <w:t>See, e.g.,</w:t>
      </w:r>
      <w:r>
        <w:rPr>
          <w:rStyle w:val="apple-style-span"/>
        </w:rPr>
        <w:t xml:space="preserve"> </w:t>
      </w:r>
      <w:r w:rsidRPr="00C43632">
        <w:rPr>
          <w:i/>
          <w:iCs/>
        </w:rPr>
        <w:t xml:space="preserve">Warren v. Century </w:t>
      </w:r>
      <w:proofErr w:type="spellStart"/>
      <w:r w:rsidRPr="00C43632">
        <w:rPr>
          <w:i/>
          <w:iCs/>
        </w:rPr>
        <w:t>Ban</w:t>
      </w:r>
      <w:r>
        <w:rPr>
          <w:i/>
          <w:iCs/>
        </w:rPr>
        <w:t>k</w:t>
      </w:r>
      <w:r w:rsidRPr="00C43632">
        <w:rPr>
          <w:i/>
          <w:iCs/>
        </w:rPr>
        <w:t>corporation</w:t>
      </w:r>
      <w:proofErr w:type="spellEnd"/>
      <w:r w:rsidRPr="00C43632">
        <w:rPr>
          <w:i/>
          <w:iCs/>
        </w:rPr>
        <w:t>, Inc</w:t>
      </w:r>
      <w:r w:rsidRPr="00C43632">
        <w:t>., 1987 OK 14, 741 P.2d 846</w:t>
      </w:r>
      <w:r>
        <w:t xml:space="preserve"> (majority shareholder breaches fiduciary duty to minority shareholders by unfairly diverting business from the corporation)</w:t>
      </w:r>
      <w:r w:rsidRPr="00C43632">
        <w:t>.</w:t>
      </w:r>
    </w:p>
  </w:footnote>
  <w:footnote w:id="66">
    <w:p w:rsidR="000C2862" w:rsidRDefault="000C2862">
      <w:pPr>
        <w:pStyle w:val="FootnoteText"/>
      </w:pPr>
      <w:r>
        <w:rPr>
          <w:rStyle w:val="FootnoteReference"/>
        </w:rPr>
        <w:footnoteRef/>
      </w:r>
      <w:r>
        <w:t xml:space="preserve"> </w:t>
      </w:r>
      <w:r>
        <w:tab/>
      </w:r>
      <w:r w:rsidRPr="00717375">
        <w:rPr>
          <w:i/>
        </w:rPr>
        <w:t>See</w:t>
      </w:r>
      <w:r w:rsidRPr="00F51BA3">
        <w:rPr>
          <w:i/>
        </w:rPr>
        <w:t xml:space="preserve"> Bond Purchase, LLC v. Patriot Tax Credit Prop., L.P</w:t>
      </w:r>
      <w:r>
        <w:t xml:space="preserve">. 746 A.2d 842, 864 (Del. Ch. 1999) (“A fiduciary is typically one who is entrusted with the power to manage and control the property of another.”); </w:t>
      </w:r>
      <w:r w:rsidRPr="00717375">
        <w:rPr>
          <w:i/>
        </w:rPr>
        <w:t>see also</w:t>
      </w:r>
      <w:r>
        <w:t xml:space="preserve"> Comments to the uniform version of ULPA (2001), </w:t>
      </w:r>
      <w:r>
        <w:rPr>
          <w:rFonts w:cs="Times New Roman"/>
        </w:rPr>
        <w:t>§</w:t>
      </w:r>
      <w:r w:rsidRPr="001A0092">
        <w:t>305</w:t>
      </w:r>
      <w:r>
        <w:t xml:space="preserve">(a).  </w:t>
      </w:r>
    </w:p>
  </w:footnote>
  <w:footnote w:id="67">
    <w:p w:rsidR="000C2862" w:rsidRDefault="000C2862">
      <w:pPr>
        <w:pStyle w:val="FootnoteText"/>
      </w:pPr>
      <w:r>
        <w:rPr>
          <w:rStyle w:val="FootnoteReference"/>
        </w:rPr>
        <w:footnoteRef/>
      </w:r>
      <w:r>
        <w:t xml:space="preserve"> </w:t>
      </w:r>
      <w:r>
        <w:tab/>
      </w:r>
      <w:proofErr w:type="gramStart"/>
      <w:r>
        <w:t xml:space="preserve">54 O.S. </w:t>
      </w:r>
      <w:r>
        <w:rPr>
          <w:rFonts w:cs="Times New Roman"/>
        </w:rPr>
        <w:t>§</w:t>
      </w:r>
      <w:r w:rsidRPr="001A0092">
        <w:t>500-305A(</w:t>
      </w:r>
      <w:r>
        <w:t>c</w:t>
      </w:r>
      <w:r w:rsidRPr="001A0092">
        <w:t>)</w:t>
      </w:r>
      <w:r>
        <w:t>.</w:t>
      </w:r>
      <w:proofErr w:type="gramEnd"/>
    </w:p>
  </w:footnote>
  <w:footnote w:id="68">
    <w:p w:rsidR="00641186" w:rsidRDefault="00641186">
      <w:pPr>
        <w:pStyle w:val="FootnoteText"/>
      </w:pPr>
      <w:r>
        <w:rPr>
          <w:rStyle w:val="FootnoteReference"/>
        </w:rPr>
        <w:footnoteRef/>
      </w:r>
      <w:r>
        <w:t xml:space="preserve"> </w:t>
      </w:r>
      <w:r>
        <w:tab/>
      </w:r>
      <w:r w:rsidRPr="00407DE3">
        <w:rPr>
          <w:i/>
        </w:rPr>
        <w:t>Id.</w:t>
      </w:r>
      <w:r>
        <w:t xml:space="preserve"> at </w:t>
      </w:r>
      <w:r>
        <w:rPr>
          <w:rFonts w:cs="Times New Roman"/>
        </w:rPr>
        <w:t>§</w:t>
      </w:r>
      <w:r w:rsidRPr="001A0092">
        <w:t>500-</w:t>
      </w:r>
      <w:proofErr w:type="gramStart"/>
      <w:r w:rsidRPr="001A0092">
        <w:t>305A</w:t>
      </w:r>
      <w:r>
        <w:t>(</w:t>
      </w:r>
      <w:proofErr w:type="gramEnd"/>
      <w:r>
        <w:t>b)</w:t>
      </w:r>
      <w:r w:rsidR="00241331">
        <w:t>.</w:t>
      </w:r>
    </w:p>
  </w:footnote>
  <w:footnote w:id="69">
    <w:p w:rsidR="000C2862" w:rsidRDefault="000C2862">
      <w:pPr>
        <w:pStyle w:val="FootnoteText"/>
      </w:pPr>
      <w:r>
        <w:rPr>
          <w:rStyle w:val="FootnoteReference"/>
        </w:rPr>
        <w:footnoteRef/>
      </w:r>
      <w:r>
        <w:t xml:space="preserve"> </w:t>
      </w:r>
      <w:r>
        <w:tab/>
      </w:r>
      <w:r w:rsidRPr="00071F92">
        <w:rPr>
          <w:i/>
        </w:rPr>
        <w:t>Id.</w:t>
      </w:r>
      <w:r>
        <w:t xml:space="preserve"> at </w:t>
      </w:r>
      <w:r>
        <w:rPr>
          <w:rFonts w:cs="Times New Roman"/>
        </w:rPr>
        <w:t>§</w:t>
      </w:r>
      <w:r w:rsidRPr="001A0092">
        <w:t>500-</w:t>
      </w:r>
      <w:r>
        <w:t>116</w:t>
      </w:r>
      <w:r w:rsidRPr="001A0092">
        <w:t>A</w:t>
      </w:r>
      <w:r>
        <w:t xml:space="preserve"> </w:t>
      </w:r>
      <w:r w:rsidRPr="001A0092">
        <w:t>(</w:t>
      </w:r>
      <w:r>
        <w:t xml:space="preserve">adding requirement that a </w:t>
      </w:r>
      <w:r w:rsidRPr="00E8337F">
        <w:t>registered agent must certify in its statement of resignation that it sent due notice of its resignation to the limited partnership</w:t>
      </w:r>
      <w:r>
        <w:t>).</w:t>
      </w:r>
    </w:p>
  </w:footnote>
  <w:footnote w:id="70">
    <w:p w:rsidR="000C2862" w:rsidRDefault="000C2862">
      <w:pPr>
        <w:pStyle w:val="FootnoteText"/>
      </w:pPr>
      <w:r>
        <w:rPr>
          <w:rStyle w:val="FootnoteReference"/>
        </w:rPr>
        <w:footnoteRef/>
      </w:r>
      <w:r>
        <w:t xml:space="preserve"> </w:t>
      </w:r>
      <w:r>
        <w:tab/>
      </w:r>
      <w:proofErr w:type="gramStart"/>
      <w:r w:rsidRPr="00071F92">
        <w:rPr>
          <w:i/>
        </w:rPr>
        <w:t>Id.</w:t>
      </w:r>
      <w:r>
        <w:t xml:space="preserve"> at </w:t>
      </w:r>
      <w:r>
        <w:rPr>
          <w:rFonts w:cs="Times New Roman"/>
        </w:rPr>
        <w:t>§</w:t>
      </w:r>
      <w:r w:rsidRPr="001A0092">
        <w:t>500-</w:t>
      </w:r>
      <w:r>
        <w:t>209</w:t>
      </w:r>
      <w:r w:rsidRPr="001A0092">
        <w:t>A</w:t>
      </w:r>
      <w:r>
        <w:t>.</w:t>
      </w:r>
      <w:proofErr w:type="gramEnd"/>
      <w:r>
        <w:t xml:space="preserve"> </w:t>
      </w:r>
    </w:p>
  </w:footnote>
  <w:footnote w:id="71">
    <w:p w:rsidR="000C2862" w:rsidRDefault="000C2862">
      <w:pPr>
        <w:pStyle w:val="FootnoteText"/>
      </w:pPr>
      <w:r>
        <w:rPr>
          <w:rStyle w:val="FootnoteReference"/>
        </w:rPr>
        <w:footnoteRef/>
      </w:r>
      <w:r>
        <w:t xml:space="preserve"> </w:t>
      </w:r>
      <w:r>
        <w:tab/>
      </w:r>
      <w:proofErr w:type="gramStart"/>
      <w:r w:rsidRPr="00071F92">
        <w:rPr>
          <w:i/>
        </w:rPr>
        <w:t>Id.</w:t>
      </w:r>
      <w:r>
        <w:t xml:space="preserve"> at </w:t>
      </w:r>
      <w:r>
        <w:rPr>
          <w:rFonts w:cs="Times New Roman"/>
        </w:rPr>
        <w:t>§</w:t>
      </w:r>
      <w:r w:rsidRPr="001A0092">
        <w:t>500-</w:t>
      </w:r>
      <w:r>
        <w:t>210</w:t>
      </w:r>
      <w:r w:rsidRPr="001A0092">
        <w:t>A</w:t>
      </w:r>
      <w:r>
        <w:t>.</w:t>
      </w:r>
      <w:proofErr w:type="gramEnd"/>
    </w:p>
  </w:footnote>
  <w:footnote w:id="72">
    <w:p w:rsidR="000C2862" w:rsidRDefault="000C2862">
      <w:pPr>
        <w:pStyle w:val="FootnoteText"/>
      </w:pPr>
      <w:r>
        <w:rPr>
          <w:rStyle w:val="FootnoteReference"/>
        </w:rPr>
        <w:footnoteRef/>
      </w:r>
      <w:r>
        <w:t xml:space="preserve"> </w:t>
      </w:r>
      <w:r>
        <w:tab/>
      </w:r>
      <w:proofErr w:type="gramStart"/>
      <w:r w:rsidRPr="00071F92">
        <w:rPr>
          <w:i/>
        </w:rPr>
        <w:t>Id.</w:t>
      </w:r>
      <w:r>
        <w:t xml:space="preserve"> at </w:t>
      </w:r>
      <w:r>
        <w:rPr>
          <w:rFonts w:cs="Times New Roman"/>
        </w:rPr>
        <w:t>§§</w:t>
      </w:r>
      <w:r w:rsidRPr="001A0092">
        <w:t>500-</w:t>
      </w:r>
      <w:r>
        <w:t>809</w:t>
      </w:r>
      <w:r w:rsidRPr="001A0092">
        <w:t>A</w:t>
      </w:r>
      <w:r>
        <w:t xml:space="preserve"> and 500-810A.</w:t>
      </w:r>
      <w:proofErr w:type="gramEnd"/>
    </w:p>
  </w:footnote>
  <w:footnote w:id="73">
    <w:p w:rsidR="000C2862" w:rsidRDefault="000C2862" w:rsidP="003545EB">
      <w:pPr>
        <w:pStyle w:val="FootnoteText"/>
      </w:pPr>
      <w:r>
        <w:rPr>
          <w:rStyle w:val="FootnoteReference"/>
        </w:rPr>
        <w:footnoteRef/>
      </w:r>
      <w:r>
        <w:t xml:space="preserve"> </w:t>
      </w:r>
      <w:r>
        <w:tab/>
      </w:r>
      <w:r w:rsidRPr="000A6976">
        <w:rPr>
          <w:i/>
        </w:rPr>
        <w:t>See Down on the Street: A Special Report on American’s Capital Markets</w:t>
      </w:r>
      <w:r>
        <w:t xml:space="preserve">, </w:t>
      </w:r>
      <w:r w:rsidRPr="00BF4277">
        <w:rPr>
          <w:iCs/>
        </w:rPr>
        <w:t>The Economist</w:t>
      </w:r>
      <w:r>
        <w:rPr>
          <w:i/>
          <w:iCs/>
        </w:rPr>
        <w:t xml:space="preserve"> </w:t>
      </w:r>
      <w:r>
        <w:t>(Nov. 25, 2006) (“In theory, a higher standard of corporate governance should result in a higher valuation, since listing in a well-regulated market shows a commitment from a company that it will not abuse investors.  One study, conducted post-Sarbanes-Oxley, found that the premium placed on the value of an emerging-market firm listing in New York can reach 37%; preliminary research suggests the value of a London listing is not as high.”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62" w:rsidRDefault="000C28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62" w:rsidRDefault="000C28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13DC"/>
    <w:multiLevelType w:val="multilevel"/>
    <w:tmpl w:val="2B141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7301F"/>
    <w:multiLevelType w:val="hybridMultilevel"/>
    <w:tmpl w:val="B0BA66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C6C4E4F"/>
    <w:multiLevelType w:val="multilevel"/>
    <w:tmpl w:val="50903CE2"/>
    <w:styleLink w:val="DB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0BF3227"/>
    <w:multiLevelType w:val="multilevel"/>
    <w:tmpl w:val="96DC0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7B3C56"/>
    <w:multiLevelType w:val="hybridMultilevel"/>
    <w:tmpl w:val="8160C6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EC0377"/>
    <w:multiLevelType w:val="multilevel"/>
    <w:tmpl w:val="30E65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7C7513"/>
    <w:multiLevelType w:val="multilevel"/>
    <w:tmpl w:val="6A1E7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F83314"/>
    <w:multiLevelType w:val="hybridMultilevel"/>
    <w:tmpl w:val="73086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6F75360"/>
    <w:multiLevelType w:val="multilevel"/>
    <w:tmpl w:val="92F8B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932A7A"/>
    <w:multiLevelType w:val="hybridMultilevel"/>
    <w:tmpl w:val="8F924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FB3642"/>
    <w:multiLevelType w:val="multilevel"/>
    <w:tmpl w:val="75F22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6116FB"/>
    <w:multiLevelType w:val="hybridMultilevel"/>
    <w:tmpl w:val="F6E0AA48"/>
    <w:lvl w:ilvl="0" w:tplc="F6EED132">
      <w:numFmt w:val="bullet"/>
      <w:lvlText w:val="•"/>
      <w:lvlJc w:val="left"/>
      <w:pPr>
        <w:ind w:left="1575" w:hanging="855"/>
      </w:pPr>
      <w:rPr>
        <w:rFonts w:ascii="Times New Roman" w:eastAsiaTheme="minorHAnsi"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C0E66BF"/>
    <w:multiLevelType w:val="multilevel"/>
    <w:tmpl w:val="1AE4D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5"/>
  </w:num>
  <w:num w:numId="5">
    <w:abstractNumId w:val="3"/>
  </w:num>
  <w:num w:numId="6">
    <w:abstractNumId w:val="10"/>
  </w:num>
  <w:num w:numId="7">
    <w:abstractNumId w:val="0"/>
  </w:num>
  <w:num w:numId="8">
    <w:abstractNumId w:val="12"/>
  </w:num>
  <w:num w:numId="9">
    <w:abstractNumId w:val="6"/>
  </w:num>
  <w:num w:numId="10">
    <w:abstractNumId w:val="8"/>
  </w:num>
  <w:num w:numId="11">
    <w:abstractNumId w:val="9"/>
  </w:num>
  <w:num w:numId="12">
    <w:abstractNumId w:val="1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324"/>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31B18"/>
    <w:rsid w:val="00000536"/>
    <w:rsid w:val="000012D7"/>
    <w:rsid w:val="00002283"/>
    <w:rsid w:val="00021B8A"/>
    <w:rsid w:val="000239C6"/>
    <w:rsid w:val="00026C15"/>
    <w:rsid w:val="00033685"/>
    <w:rsid w:val="00034D46"/>
    <w:rsid w:val="00035471"/>
    <w:rsid w:val="00035B53"/>
    <w:rsid w:val="000434F4"/>
    <w:rsid w:val="000479F9"/>
    <w:rsid w:val="00051D65"/>
    <w:rsid w:val="00052CB8"/>
    <w:rsid w:val="00052EEB"/>
    <w:rsid w:val="00062A44"/>
    <w:rsid w:val="000639FE"/>
    <w:rsid w:val="00067741"/>
    <w:rsid w:val="00071F92"/>
    <w:rsid w:val="00081D8D"/>
    <w:rsid w:val="00086911"/>
    <w:rsid w:val="00090E4A"/>
    <w:rsid w:val="00091C44"/>
    <w:rsid w:val="000948B0"/>
    <w:rsid w:val="000A6976"/>
    <w:rsid w:val="000A704E"/>
    <w:rsid w:val="000A76C6"/>
    <w:rsid w:val="000B18F2"/>
    <w:rsid w:val="000C2862"/>
    <w:rsid w:val="000D0621"/>
    <w:rsid w:val="000D40D6"/>
    <w:rsid w:val="000E5CA6"/>
    <w:rsid w:val="000E7E9D"/>
    <w:rsid w:val="00100CFA"/>
    <w:rsid w:val="00117D2A"/>
    <w:rsid w:val="0012436E"/>
    <w:rsid w:val="0013038C"/>
    <w:rsid w:val="0013493B"/>
    <w:rsid w:val="00134AE1"/>
    <w:rsid w:val="001363DA"/>
    <w:rsid w:val="00140A80"/>
    <w:rsid w:val="00140BD6"/>
    <w:rsid w:val="0014214C"/>
    <w:rsid w:val="00147451"/>
    <w:rsid w:val="001508F1"/>
    <w:rsid w:val="00151FA8"/>
    <w:rsid w:val="0015482D"/>
    <w:rsid w:val="00155149"/>
    <w:rsid w:val="00155483"/>
    <w:rsid w:val="00160815"/>
    <w:rsid w:val="001622BF"/>
    <w:rsid w:val="00163D2D"/>
    <w:rsid w:val="00163E31"/>
    <w:rsid w:val="00174F51"/>
    <w:rsid w:val="001773FA"/>
    <w:rsid w:val="00180F2A"/>
    <w:rsid w:val="00184E0B"/>
    <w:rsid w:val="00195FB2"/>
    <w:rsid w:val="0019625B"/>
    <w:rsid w:val="001A0092"/>
    <w:rsid w:val="001A5586"/>
    <w:rsid w:val="001B0CA4"/>
    <w:rsid w:val="001B2782"/>
    <w:rsid w:val="001B4B54"/>
    <w:rsid w:val="001B5F35"/>
    <w:rsid w:val="001C5721"/>
    <w:rsid w:val="001D55C7"/>
    <w:rsid w:val="001D7A78"/>
    <w:rsid w:val="001F27C4"/>
    <w:rsid w:val="001F296A"/>
    <w:rsid w:val="001F7573"/>
    <w:rsid w:val="002035CA"/>
    <w:rsid w:val="002052CC"/>
    <w:rsid w:val="002178AA"/>
    <w:rsid w:val="00221C5E"/>
    <w:rsid w:val="00225004"/>
    <w:rsid w:val="002344CA"/>
    <w:rsid w:val="00241331"/>
    <w:rsid w:val="002413EA"/>
    <w:rsid w:val="00242B9B"/>
    <w:rsid w:val="0024312F"/>
    <w:rsid w:val="002449BA"/>
    <w:rsid w:val="0024795F"/>
    <w:rsid w:val="00253A06"/>
    <w:rsid w:val="00254B8B"/>
    <w:rsid w:val="00255D17"/>
    <w:rsid w:val="00257DCF"/>
    <w:rsid w:val="00260142"/>
    <w:rsid w:val="00264DFC"/>
    <w:rsid w:val="00266133"/>
    <w:rsid w:val="00267513"/>
    <w:rsid w:val="002726C2"/>
    <w:rsid w:val="002727D7"/>
    <w:rsid w:val="00273E8D"/>
    <w:rsid w:val="0027451C"/>
    <w:rsid w:val="002749BF"/>
    <w:rsid w:val="00276E70"/>
    <w:rsid w:val="0027741D"/>
    <w:rsid w:val="00286161"/>
    <w:rsid w:val="002A12DE"/>
    <w:rsid w:val="002A1A14"/>
    <w:rsid w:val="002A23EB"/>
    <w:rsid w:val="002B003F"/>
    <w:rsid w:val="002B08AC"/>
    <w:rsid w:val="002C15E9"/>
    <w:rsid w:val="002D45FA"/>
    <w:rsid w:val="002E28C3"/>
    <w:rsid w:val="002F0C20"/>
    <w:rsid w:val="00301840"/>
    <w:rsid w:val="003026A0"/>
    <w:rsid w:val="00302E29"/>
    <w:rsid w:val="0031008B"/>
    <w:rsid w:val="00310493"/>
    <w:rsid w:val="0031700E"/>
    <w:rsid w:val="00320BDB"/>
    <w:rsid w:val="00323510"/>
    <w:rsid w:val="00324B1F"/>
    <w:rsid w:val="003270C9"/>
    <w:rsid w:val="003319CF"/>
    <w:rsid w:val="00331B18"/>
    <w:rsid w:val="00331C6B"/>
    <w:rsid w:val="00340DC8"/>
    <w:rsid w:val="00341971"/>
    <w:rsid w:val="0034201C"/>
    <w:rsid w:val="00350898"/>
    <w:rsid w:val="00351079"/>
    <w:rsid w:val="00351A36"/>
    <w:rsid w:val="003533F4"/>
    <w:rsid w:val="003545EB"/>
    <w:rsid w:val="00355072"/>
    <w:rsid w:val="003605E9"/>
    <w:rsid w:val="00361092"/>
    <w:rsid w:val="00361961"/>
    <w:rsid w:val="00364BE8"/>
    <w:rsid w:val="00364C8A"/>
    <w:rsid w:val="00370DFE"/>
    <w:rsid w:val="003744FB"/>
    <w:rsid w:val="003755FD"/>
    <w:rsid w:val="00381AAD"/>
    <w:rsid w:val="00387460"/>
    <w:rsid w:val="00395594"/>
    <w:rsid w:val="00396A1D"/>
    <w:rsid w:val="0039797C"/>
    <w:rsid w:val="003A5602"/>
    <w:rsid w:val="003A5C59"/>
    <w:rsid w:val="003A6CC8"/>
    <w:rsid w:val="003A7B0F"/>
    <w:rsid w:val="003B36E8"/>
    <w:rsid w:val="003B56ED"/>
    <w:rsid w:val="003B6294"/>
    <w:rsid w:val="003C7834"/>
    <w:rsid w:val="003D1086"/>
    <w:rsid w:val="003D1C4D"/>
    <w:rsid w:val="003D5161"/>
    <w:rsid w:val="003D66E5"/>
    <w:rsid w:val="003E2326"/>
    <w:rsid w:val="003F0B6A"/>
    <w:rsid w:val="003F1659"/>
    <w:rsid w:val="003F2A23"/>
    <w:rsid w:val="004065B4"/>
    <w:rsid w:val="00407DE3"/>
    <w:rsid w:val="00417DD3"/>
    <w:rsid w:val="00420250"/>
    <w:rsid w:val="0042085E"/>
    <w:rsid w:val="00420C94"/>
    <w:rsid w:val="00421512"/>
    <w:rsid w:val="0042385B"/>
    <w:rsid w:val="00425008"/>
    <w:rsid w:val="004306B0"/>
    <w:rsid w:val="004470CF"/>
    <w:rsid w:val="004536CD"/>
    <w:rsid w:val="00453D57"/>
    <w:rsid w:val="00454582"/>
    <w:rsid w:val="00457943"/>
    <w:rsid w:val="00467F06"/>
    <w:rsid w:val="004704A2"/>
    <w:rsid w:val="00480F24"/>
    <w:rsid w:val="004849C6"/>
    <w:rsid w:val="00491F61"/>
    <w:rsid w:val="00494BF7"/>
    <w:rsid w:val="004A47B5"/>
    <w:rsid w:val="004C039D"/>
    <w:rsid w:val="004C1B38"/>
    <w:rsid w:val="004C21D3"/>
    <w:rsid w:val="004D3BAB"/>
    <w:rsid w:val="004E17C1"/>
    <w:rsid w:val="004E3030"/>
    <w:rsid w:val="004E41B0"/>
    <w:rsid w:val="004E43DF"/>
    <w:rsid w:val="004E5452"/>
    <w:rsid w:val="004F3F4A"/>
    <w:rsid w:val="00504BB6"/>
    <w:rsid w:val="00505DF6"/>
    <w:rsid w:val="00512BD4"/>
    <w:rsid w:val="005137B1"/>
    <w:rsid w:val="00516F96"/>
    <w:rsid w:val="005223A5"/>
    <w:rsid w:val="005230A0"/>
    <w:rsid w:val="00524576"/>
    <w:rsid w:val="005320F3"/>
    <w:rsid w:val="00532CB1"/>
    <w:rsid w:val="0053625F"/>
    <w:rsid w:val="0054299A"/>
    <w:rsid w:val="00545D63"/>
    <w:rsid w:val="00546316"/>
    <w:rsid w:val="005463FA"/>
    <w:rsid w:val="00570211"/>
    <w:rsid w:val="00572B3A"/>
    <w:rsid w:val="00576B11"/>
    <w:rsid w:val="00577E85"/>
    <w:rsid w:val="00590944"/>
    <w:rsid w:val="0059470A"/>
    <w:rsid w:val="005A00F8"/>
    <w:rsid w:val="005A0A5C"/>
    <w:rsid w:val="005A5F14"/>
    <w:rsid w:val="005B784B"/>
    <w:rsid w:val="005B7982"/>
    <w:rsid w:val="005C3F0F"/>
    <w:rsid w:val="005C48AD"/>
    <w:rsid w:val="005C4F78"/>
    <w:rsid w:val="005C5890"/>
    <w:rsid w:val="005C6312"/>
    <w:rsid w:val="005C6CE3"/>
    <w:rsid w:val="005C6E7A"/>
    <w:rsid w:val="005D41C4"/>
    <w:rsid w:val="005D5E66"/>
    <w:rsid w:val="005D6362"/>
    <w:rsid w:val="005D6E6B"/>
    <w:rsid w:val="005E3786"/>
    <w:rsid w:val="005E48F4"/>
    <w:rsid w:val="005E4992"/>
    <w:rsid w:val="005E5F96"/>
    <w:rsid w:val="005F098F"/>
    <w:rsid w:val="005F330E"/>
    <w:rsid w:val="00606C3D"/>
    <w:rsid w:val="00611D48"/>
    <w:rsid w:val="00611F44"/>
    <w:rsid w:val="00615BEA"/>
    <w:rsid w:val="0062006B"/>
    <w:rsid w:val="006203FD"/>
    <w:rsid w:val="0062068B"/>
    <w:rsid w:val="0062727F"/>
    <w:rsid w:val="00627A00"/>
    <w:rsid w:val="0063330F"/>
    <w:rsid w:val="00641186"/>
    <w:rsid w:val="00642825"/>
    <w:rsid w:val="006438AE"/>
    <w:rsid w:val="00645433"/>
    <w:rsid w:val="00655E93"/>
    <w:rsid w:val="006657A7"/>
    <w:rsid w:val="00666D88"/>
    <w:rsid w:val="0067480F"/>
    <w:rsid w:val="006814BC"/>
    <w:rsid w:val="00687FC2"/>
    <w:rsid w:val="006B1512"/>
    <w:rsid w:val="006B4976"/>
    <w:rsid w:val="006C3B30"/>
    <w:rsid w:val="006D0113"/>
    <w:rsid w:val="006D49D5"/>
    <w:rsid w:val="006D6905"/>
    <w:rsid w:val="006D78B9"/>
    <w:rsid w:val="006E0439"/>
    <w:rsid w:val="006E196B"/>
    <w:rsid w:val="006F12EE"/>
    <w:rsid w:val="006F4589"/>
    <w:rsid w:val="006F7F13"/>
    <w:rsid w:val="0070376D"/>
    <w:rsid w:val="00703F0C"/>
    <w:rsid w:val="007058FA"/>
    <w:rsid w:val="007059CD"/>
    <w:rsid w:val="007063E7"/>
    <w:rsid w:val="00706DBC"/>
    <w:rsid w:val="007105F8"/>
    <w:rsid w:val="00717375"/>
    <w:rsid w:val="0072750F"/>
    <w:rsid w:val="00731948"/>
    <w:rsid w:val="0074298A"/>
    <w:rsid w:val="00745038"/>
    <w:rsid w:val="007457B7"/>
    <w:rsid w:val="007469E4"/>
    <w:rsid w:val="00751822"/>
    <w:rsid w:val="00751E89"/>
    <w:rsid w:val="00751F90"/>
    <w:rsid w:val="00752710"/>
    <w:rsid w:val="00753470"/>
    <w:rsid w:val="00762859"/>
    <w:rsid w:val="00763194"/>
    <w:rsid w:val="0076659F"/>
    <w:rsid w:val="007668C1"/>
    <w:rsid w:val="00767441"/>
    <w:rsid w:val="00770C0A"/>
    <w:rsid w:val="0077645D"/>
    <w:rsid w:val="00780635"/>
    <w:rsid w:val="007811CA"/>
    <w:rsid w:val="00782BF1"/>
    <w:rsid w:val="00792561"/>
    <w:rsid w:val="00793D75"/>
    <w:rsid w:val="007A15FC"/>
    <w:rsid w:val="007A31F0"/>
    <w:rsid w:val="007B3B6F"/>
    <w:rsid w:val="007B7831"/>
    <w:rsid w:val="007C30FF"/>
    <w:rsid w:val="007C692E"/>
    <w:rsid w:val="007C7336"/>
    <w:rsid w:val="007D1259"/>
    <w:rsid w:val="007D62D6"/>
    <w:rsid w:val="007D7AAA"/>
    <w:rsid w:val="007E5918"/>
    <w:rsid w:val="007F0D58"/>
    <w:rsid w:val="007F23AF"/>
    <w:rsid w:val="007F3ED9"/>
    <w:rsid w:val="00800493"/>
    <w:rsid w:val="00801034"/>
    <w:rsid w:val="008041FD"/>
    <w:rsid w:val="0080628F"/>
    <w:rsid w:val="00812027"/>
    <w:rsid w:val="00816BF1"/>
    <w:rsid w:val="00816CB9"/>
    <w:rsid w:val="00822DE8"/>
    <w:rsid w:val="00826006"/>
    <w:rsid w:val="008274F9"/>
    <w:rsid w:val="00836869"/>
    <w:rsid w:val="00845FCB"/>
    <w:rsid w:val="0085082F"/>
    <w:rsid w:val="0085483A"/>
    <w:rsid w:val="00855A83"/>
    <w:rsid w:val="00856C4D"/>
    <w:rsid w:val="00862E95"/>
    <w:rsid w:val="00863311"/>
    <w:rsid w:val="00863F62"/>
    <w:rsid w:val="0086516A"/>
    <w:rsid w:val="008661E9"/>
    <w:rsid w:val="008724C8"/>
    <w:rsid w:val="00872838"/>
    <w:rsid w:val="00874F0F"/>
    <w:rsid w:val="00876BC5"/>
    <w:rsid w:val="00877975"/>
    <w:rsid w:val="00882872"/>
    <w:rsid w:val="00884D57"/>
    <w:rsid w:val="00892E01"/>
    <w:rsid w:val="008A76C5"/>
    <w:rsid w:val="008B3F2A"/>
    <w:rsid w:val="008C19C3"/>
    <w:rsid w:val="008C696C"/>
    <w:rsid w:val="008C6A7E"/>
    <w:rsid w:val="008D5FEB"/>
    <w:rsid w:val="008D6F48"/>
    <w:rsid w:val="008D7EDB"/>
    <w:rsid w:val="008F1BA3"/>
    <w:rsid w:val="008F2A05"/>
    <w:rsid w:val="008F4CF4"/>
    <w:rsid w:val="009016EA"/>
    <w:rsid w:val="00902818"/>
    <w:rsid w:val="00903616"/>
    <w:rsid w:val="00905094"/>
    <w:rsid w:val="009102B7"/>
    <w:rsid w:val="009155E9"/>
    <w:rsid w:val="00916DA4"/>
    <w:rsid w:val="0092108B"/>
    <w:rsid w:val="00922FA1"/>
    <w:rsid w:val="00923BF0"/>
    <w:rsid w:val="0092472D"/>
    <w:rsid w:val="00926869"/>
    <w:rsid w:val="009277E7"/>
    <w:rsid w:val="00935510"/>
    <w:rsid w:val="0093757F"/>
    <w:rsid w:val="00937CC2"/>
    <w:rsid w:val="00940B7D"/>
    <w:rsid w:val="0094200A"/>
    <w:rsid w:val="00947D12"/>
    <w:rsid w:val="00951764"/>
    <w:rsid w:val="00951E03"/>
    <w:rsid w:val="0095414C"/>
    <w:rsid w:val="009621D4"/>
    <w:rsid w:val="009720EE"/>
    <w:rsid w:val="00973972"/>
    <w:rsid w:val="00976E02"/>
    <w:rsid w:val="00980321"/>
    <w:rsid w:val="00987073"/>
    <w:rsid w:val="009A1193"/>
    <w:rsid w:val="009A6B0C"/>
    <w:rsid w:val="009B573A"/>
    <w:rsid w:val="009B72C9"/>
    <w:rsid w:val="009C36A3"/>
    <w:rsid w:val="009C6249"/>
    <w:rsid w:val="009D050A"/>
    <w:rsid w:val="009F1B47"/>
    <w:rsid w:val="009F4385"/>
    <w:rsid w:val="009F6697"/>
    <w:rsid w:val="009F7DBE"/>
    <w:rsid w:val="00A0302F"/>
    <w:rsid w:val="00A060AE"/>
    <w:rsid w:val="00A07F34"/>
    <w:rsid w:val="00A16399"/>
    <w:rsid w:val="00A1640A"/>
    <w:rsid w:val="00A16CD4"/>
    <w:rsid w:val="00A1789C"/>
    <w:rsid w:val="00A2166D"/>
    <w:rsid w:val="00A23756"/>
    <w:rsid w:val="00A259BA"/>
    <w:rsid w:val="00A308CC"/>
    <w:rsid w:val="00A33802"/>
    <w:rsid w:val="00A40417"/>
    <w:rsid w:val="00A41BB8"/>
    <w:rsid w:val="00A42CC1"/>
    <w:rsid w:val="00A42FD1"/>
    <w:rsid w:val="00A46AB4"/>
    <w:rsid w:val="00A46BD8"/>
    <w:rsid w:val="00A501A1"/>
    <w:rsid w:val="00A57AE3"/>
    <w:rsid w:val="00A6041D"/>
    <w:rsid w:val="00A636DD"/>
    <w:rsid w:val="00A6447F"/>
    <w:rsid w:val="00A64BE0"/>
    <w:rsid w:val="00A741A9"/>
    <w:rsid w:val="00A80444"/>
    <w:rsid w:val="00A84CDB"/>
    <w:rsid w:val="00A8633D"/>
    <w:rsid w:val="00A8718F"/>
    <w:rsid w:val="00AA17B6"/>
    <w:rsid w:val="00AA1C47"/>
    <w:rsid w:val="00AA3047"/>
    <w:rsid w:val="00AB0AA5"/>
    <w:rsid w:val="00AD5432"/>
    <w:rsid w:val="00AD56A0"/>
    <w:rsid w:val="00AE1611"/>
    <w:rsid w:val="00AE25EE"/>
    <w:rsid w:val="00AE60D9"/>
    <w:rsid w:val="00AF442C"/>
    <w:rsid w:val="00AF5686"/>
    <w:rsid w:val="00B0041A"/>
    <w:rsid w:val="00B03166"/>
    <w:rsid w:val="00B114CE"/>
    <w:rsid w:val="00B17508"/>
    <w:rsid w:val="00B2293A"/>
    <w:rsid w:val="00B30D85"/>
    <w:rsid w:val="00B32258"/>
    <w:rsid w:val="00B400B6"/>
    <w:rsid w:val="00B46BB7"/>
    <w:rsid w:val="00B64D30"/>
    <w:rsid w:val="00B65B32"/>
    <w:rsid w:val="00B703A7"/>
    <w:rsid w:val="00B77B38"/>
    <w:rsid w:val="00B80E1E"/>
    <w:rsid w:val="00B85CBA"/>
    <w:rsid w:val="00B91A2E"/>
    <w:rsid w:val="00B92770"/>
    <w:rsid w:val="00B944BD"/>
    <w:rsid w:val="00B95577"/>
    <w:rsid w:val="00B95F46"/>
    <w:rsid w:val="00BB2CBA"/>
    <w:rsid w:val="00BC031A"/>
    <w:rsid w:val="00BC19FB"/>
    <w:rsid w:val="00BC72E8"/>
    <w:rsid w:val="00BD68A5"/>
    <w:rsid w:val="00BD6A34"/>
    <w:rsid w:val="00BE0FF6"/>
    <w:rsid w:val="00BE6AD7"/>
    <w:rsid w:val="00BF186C"/>
    <w:rsid w:val="00BF1DF2"/>
    <w:rsid w:val="00BF4277"/>
    <w:rsid w:val="00BF7887"/>
    <w:rsid w:val="00C017F4"/>
    <w:rsid w:val="00C04784"/>
    <w:rsid w:val="00C0570A"/>
    <w:rsid w:val="00C06221"/>
    <w:rsid w:val="00C06810"/>
    <w:rsid w:val="00C11517"/>
    <w:rsid w:val="00C14D4C"/>
    <w:rsid w:val="00C16CD5"/>
    <w:rsid w:val="00C2037F"/>
    <w:rsid w:val="00C21D82"/>
    <w:rsid w:val="00C21FCB"/>
    <w:rsid w:val="00C21FF6"/>
    <w:rsid w:val="00C33A4F"/>
    <w:rsid w:val="00C36F57"/>
    <w:rsid w:val="00C37CCC"/>
    <w:rsid w:val="00C40C8A"/>
    <w:rsid w:val="00C43632"/>
    <w:rsid w:val="00C52A5E"/>
    <w:rsid w:val="00C54173"/>
    <w:rsid w:val="00C55680"/>
    <w:rsid w:val="00C567D4"/>
    <w:rsid w:val="00C57342"/>
    <w:rsid w:val="00C6129D"/>
    <w:rsid w:val="00C6304E"/>
    <w:rsid w:val="00C71D17"/>
    <w:rsid w:val="00C72B88"/>
    <w:rsid w:val="00C741B7"/>
    <w:rsid w:val="00C77ED2"/>
    <w:rsid w:val="00C80643"/>
    <w:rsid w:val="00CA05D5"/>
    <w:rsid w:val="00CA4E5E"/>
    <w:rsid w:val="00CB296C"/>
    <w:rsid w:val="00CB29E1"/>
    <w:rsid w:val="00CB614A"/>
    <w:rsid w:val="00CC1E68"/>
    <w:rsid w:val="00CC6EA6"/>
    <w:rsid w:val="00CD15F2"/>
    <w:rsid w:val="00CE7F15"/>
    <w:rsid w:val="00CF2B15"/>
    <w:rsid w:val="00CF5B07"/>
    <w:rsid w:val="00D04B49"/>
    <w:rsid w:val="00D167DB"/>
    <w:rsid w:val="00D27CD0"/>
    <w:rsid w:val="00D27EBE"/>
    <w:rsid w:val="00D31E8F"/>
    <w:rsid w:val="00D33E7B"/>
    <w:rsid w:val="00D37EEB"/>
    <w:rsid w:val="00D40D71"/>
    <w:rsid w:val="00D454B8"/>
    <w:rsid w:val="00D50EBE"/>
    <w:rsid w:val="00D552BE"/>
    <w:rsid w:val="00D55531"/>
    <w:rsid w:val="00D5624C"/>
    <w:rsid w:val="00D5628D"/>
    <w:rsid w:val="00D57D83"/>
    <w:rsid w:val="00D600FA"/>
    <w:rsid w:val="00D620DE"/>
    <w:rsid w:val="00D64D9B"/>
    <w:rsid w:val="00D704DF"/>
    <w:rsid w:val="00D80686"/>
    <w:rsid w:val="00D80A2F"/>
    <w:rsid w:val="00D81138"/>
    <w:rsid w:val="00D90BBF"/>
    <w:rsid w:val="00D939B9"/>
    <w:rsid w:val="00D93EC4"/>
    <w:rsid w:val="00D97F0A"/>
    <w:rsid w:val="00DB0028"/>
    <w:rsid w:val="00DB23F8"/>
    <w:rsid w:val="00DC4687"/>
    <w:rsid w:val="00DC7F2C"/>
    <w:rsid w:val="00DD322C"/>
    <w:rsid w:val="00DD4F2B"/>
    <w:rsid w:val="00DE3311"/>
    <w:rsid w:val="00E01177"/>
    <w:rsid w:val="00E04B83"/>
    <w:rsid w:val="00E25544"/>
    <w:rsid w:val="00E34618"/>
    <w:rsid w:val="00E35B20"/>
    <w:rsid w:val="00E40728"/>
    <w:rsid w:val="00E41DE5"/>
    <w:rsid w:val="00E4267A"/>
    <w:rsid w:val="00E44B48"/>
    <w:rsid w:val="00E55AD4"/>
    <w:rsid w:val="00E60706"/>
    <w:rsid w:val="00E7103A"/>
    <w:rsid w:val="00E72A4A"/>
    <w:rsid w:val="00E80107"/>
    <w:rsid w:val="00E82C92"/>
    <w:rsid w:val="00E8337F"/>
    <w:rsid w:val="00E8535F"/>
    <w:rsid w:val="00E87949"/>
    <w:rsid w:val="00E93707"/>
    <w:rsid w:val="00E9599E"/>
    <w:rsid w:val="00E975F9"/>
    <w:rsid w:val="00E97678"/>
    <w:rsid w:val="00EA0941"/>
    <w:rsid w:val="00EA2745"/>
    <w:rsid w:val="00EA69D7"/>
    <w:rsid w:val="00EB1E97"/>
    <w:rsid w:val="00EC2646"/>
    <w:rsid w:val="00EC329D"/>
    <w:rsid w:val="00ED054E"/>
    <w:rsid w:val="00ED3A55"/>
    <w:rsid w:val="00ED614D"/>
    <w:rsid w:val="00EE4C70"/>
    <w:rsid w:val="00EE6AA9"/>
    <w:rsid w:val="00EF6032"/>
    <w:rsid w:val="00EF74ED"/>
    <w:rsid w:val="00F1572E"/>
    <w:rsid w:val="00F16B1B"/>
    <w:rsid w:val="00F22F2E"/>
    <w:rsid w:val="00F2786D"/>
    <w:rsid w:val="00F33BA9"/>
    <w:rsid w:val="00F42C9A"/>
    <w:rsid w:val="00F47968"/>
    <w:rsid w:val="00F508DA"/>
    <w:rsid w:val="00F51BA3"/>
    <w:rsid w:val="00F52892"/>
    <w:rsid w:val="00F540BD"/>
    <w:rsid w:val="00F57E5F"/>
    <w:rsid w:val="00F73357"/>
    <w:rsid w:val="00F74295"/>
    <w:rsid w:val="00F82574"/>
    <w:rsid w:val="00F863C9"/>
    <w:rsid w:val="00F86487"/>
    <w:rsid w:val="00F86A98"/>
    <w:rsid w:val="00F90E19"/>
    <w:rsid w:val="00F925B2"/>
    <w:rsid w:val="00F9444C"/>
    <w:rsid w:val="00FA58F6"/>
    <w:rsid w:val="00FB23B2"/>
    <w:rsid w:val="00FB2681"/>
    <w:rsid w:val="00FC158C"/>
    <w:rsid w:val="00FC4B65"/>
    <w:rsid w:val="00FC6283"/>
    <w:rsid w:val="00FD1A75"/>
    <w:rsid w:val="00FD5D0D"/>
    <w:rsid w:val="00FE37B8"/>
    <w:rsid w:val="00FF05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B18"/>
    <w:pPr>
      <w:autoSpaceDE w:val="0"/>
      <w:autoSpaceDN w:val="0"/>
      <w:adjustRightInd w:val="0"/>
      <w:spacing w:before="120" w:after="0" w:line="240" w:lineRule="auto"/>
    </w:pPr>
    <w:rPr>
      <w:rFonts w:ascii="Times New Roman" w:eastAsiaTheme="minorEastAsia" w:hAnsi="Times New Roman" w:cs="Times New Roman"/>
      <w:sz w:val="24"/>
      <w:szCs w:val="20"/>
    </w:rPr>
  </w:style>
  <w:style w:type="paragraph" w:styleId="Heading1">
    <w:name w:val="heading 1"/>
    <w:basedOn w:val="Normal"/>
    <w:next w:val="Normal"/>
    <w:link w:val="Heading1Char"/>
    <w:uiPriority w:val="9"/>
    <w:qFormat/>
    <w:rsid w:val="00302E29"/>
    <w:pPr>
      <w:keepNext/>
      <w:spacing w:before="240" w:after="60"/>
      <w:jc w:val="center"/>
      <w:outlineLvl w:val="0"/>
    </w:pPr>
    <w:rPr>
      <w:rFonts w:ascii="Times New Roman Bold" w:eastAsiaTheme="majorEastAsia" w:hAnsi="Times New Roman Bold" w:cstheme="majorBidi"/>
      <w:b/>
      <w:bCs/>
      <w:caps/>
      <w:szCs w:val="28"/>
    </w:rPr>
  </w:style>
  <w:style w:type="paragraph" w:styleId="Heading2">
    <w:name w:val="heading 2"/>
    <w:basedOn w:val="Normal"/>
    <w:next w:val="Normal"/>
    <w:link w:val="Heading2Char"/>
    <w:unhideWhenUsed/>
    <w:qFormat/>
    <w:rsid w:val="00D57D83"/>
    <w:pPr>
      <w:keepNext/>
      <w:spacing w:before="240" w:after="60"/>
      <w:jc w:val="center"/>
      <w:outlineLvl w:val="1"/>
    </w:pPr>
    <w:rPr>
      <w:rFonts w:ascii="Times New (W1)" w:eastAsiaTheme="majorEastAsia" w:hAnsi="Times New (W1)" w:cstheme="majorBidi"/>
      <w:b/>
      <w:bCs/>
      <w:szCs w:val="26"/>
    </w:rPr>
  </w:style>
  <w:style w:type="paragraph" w:styleId="Heading3">
    <w:name w:val="heading 3"/>
    <w:basedOn w:val="Normal"/>
    <w:next w:val="Normal"/>
    <w:link w:val="Heading3Char"/>
    <w:unhideWhenUsed/>
    <w:qFormat/>
    <w:rsid w:val="007811CA"/>
    <w:pPr>
      <w:keepNext/>
      <w:spacing w:before="240" w:after="60" w:line="360" w:lineRule="auto"/>
      <w:outlineLvl w:val="2"/>
    </w:pPr>
    <w:rPr>
      <w:rFonts w:ascii="Times New Roman Bold" w:eastAsiaTheme="majorEastAsia" w:hAnsi="Times New Roman Bold" w:cstheme="majorBidi"/>
      <w:b/>
      <w:bCs/>
      <w:szCs w:val="22"/>
    </w:rPr>
  </w:style>
  <w:style w:type="paragraph" w:styleId="Heading4">
    <w:name w:val="heading 4"/>
    <w:basedOn w:val="Normal"/>
    <w:next w:val="Normal"/>
    <w:link w:val="Heading4Char"/>
    <w:uiPriority w:val="9"/>
    <w:unhideWhenUsed/>
    <w:qFormat/>
    <w:rsid w:val="003D1086"/>
    <w:pPr>
      <w:keepNext/>
      <w:keepLines/>
      <w:spacing w:before="200"/>
      <w:ind w:left="36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0012D7"/>
    <w:pPr>
      <w:keepNext/>
      <w:keepLines/>
      <w:spacing w:before="200"/>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E29"/>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rsid w:val="00D57D83"/>
    <w:rPr>
      <w:rFonts w:ascii="Times New (W1)" w:eastAsiaTheme="majorEastAsia" w:hAnsi="Times New (W1)" w:cstheme="majorBidi"/>
      <w:b/>
      <w:bCs/>
      <w:sz w:val="24"/>
      <w:szCs w:val="26"/>
    </w:rPr>
  </w:style>
  <w:style w:type="character" w:customStyle="1" w:styleId="Heading3Char">
    <w:name w:val="Heading 3 Char"/>
    <w:basedOn w:val="DefaultParagraphFont"/>
    <w:link w:val="Heading3"/>
    <w:rsid w:val="007811CA"/>
    <w:rPr>
      <w:rFonts w:ascii="Times New Roman Bold" w:eastAsiaTheme="majorEastAsia" w:hAnsi="Times New Roman Bold" w:cstheme="majorBidi"/>
      <w:b/>
      <w:bCs/>
      <w:sz w:val="24"/>
    </w:rPr>
  </w:style>
  <w:style w:type="paragraph" w:styleId="FootnoteText">
    <w:name w:val="footnote text"/>
    <w:basedOn w:val="Normal"/>
    <w:link w:val="FootnoteTextChar"/>
    <w:unhideWhenUsed/>
    <w:qFormat/>
    <w:rsid w:val="00E97678"/>
    <w:pPr>
      <w:ind w:left="720" w:right="216" w:hanging="360"/>
    </w:pPr>
    <w:rPr>
      <w:rFonts w:cstheme="minorBidi"/>
      <w:sz w:val="20"/>
    </w:rPr>
  </w:style>
  <w:style w:type="character" w:customStyle="1" w:styleId="FootnoteTextChar">
    <w:name w:val="Footnote Text Char"/>
    <w:basedOn w:val="DefaultParagraphFont"/>
    <w:link w:val="FootnoteText"/>
    <w:rsid w:val="00E97678"/>
    <w:rPr>
      <w:rFonts w:ascii="Times New Roman" w:hAnsi="Times New Roman"/>
      <w:sz w:val="20"/>
      <w:szCs w:val="20"/>
    </w:rPr>
  </w:style>
  <w:style w:type="numbering" w:customStyle="1" w:styleId="DB1">
    <w:name w:val="D&amp;B1"/>
    <w:uiPriority w:val="99"/>
    <w:rsid w:val="00780635"/>
    <w:pPr>
      <w:numPr>
        <w:numId w:val="1"/>
      </w:numPr>
    </w:pPr>
  </w:style>
  <w:style w:type="character" w:customStyle="1" w:styleId="Heading4Char">
    <w:name w:val="Heading 4 Char"/>
    <w:basedOn w:val="DefaultParagraphFont"/>
    <w:link w:val="Heading4"/>
    <w:uiPriority w:val="9"/>
    <w:rsid w:val="003D1086"/>
    <w:rPr>
      <w:rFonts w:ascii="Times New Roman" w:eastAsiaTheme="majorEastAsia" w:hAnsi="Times New Roman" w:cstheme="majorBidi"/>
      <w:b/>
      <w:bCs/>
      <w:i/>
      <w:iCs/>
      <w:sz w:val="24"/>
      <w:szCs w:val="20"/>
    </w:rPr>
  </w:style>
  <w:style w:type="character" w:customStyle="1" w:styleId="Heading5Char">
    <w:name w:val="Heading 5 Char"/>
    <w:basedOn w:val="DefaultParagraphFont"/>
    <w:link w:val="Heading5"/>
    <w:uiPriority w:val="9"/>
    <w:rsid w:val="000012D7"/>
    <w:rPr>
      <w:rFonts w:ascii="Times New Roman" w:eastAsiaTheme="majorEastAsia" w:hAnsi="Times New Roman" w:cstheme="majorBidi"/>
      <w:b/>
      <w:i/>
      <w:sz w:val="24"/>
      <w:szCs w:val="20"/>
    </w:rPr>
  </w:style>
  <w:style w:type="character" w:styleId="PageNumber">
    <w:name w:val="page number"/>
    <w:basedOn w:val="DefaultParagraphFont"/>
    <w:rsid w:val="00331B18"/>
    <w:rPr>
      <w:rFonts w:ascii="Times New (W1)" w:hAnsi="Times New (W1)"/>
      <w:dstrike w:val="0"/>
      <w:color w:val="auto"/>
      <w:sz w:val="24"/>
      <w:vertAlign w:val="baseline"/>
    </w:rPr>
  </w:style>
  <w:style w:type="paragraph" w:styleId="Header">
    <w:name w:val="header"/>
    <w:basedOn w:val="Normal"/>
    <w:link w:val="HeaderChar"/>
    <w:rsid w:val="00331B18"/>
    <w:pPr>
      <w:tabs>
        <w:tab w:val="center" w:pos="4320"/>
        <w:tab w:val="right" w:pos="8640"/>
      </w:tabs>
    </w:pPr>
  </w:style>
  <w:style w:type="character" w:customStyle="1" w:styleId="HeaderChar">
    <w:name w:val="Header Char"/>
    <w:basedOn w:val="DefaultParagraphFont"/>
    <w:link w:val="Header"/>
    <w:rsid w:val="00331B18"/>
    <w:rPr>
      <w:rFonts w:ascii="Times New Roman" w:eastAsiaTheme="minorEastAsia" w:hAnsi="Times New Roman" w:cs="Times New Roman"/>
      <w:sz w:val="24"/>
      <w:szCs w:val="20"/>
    </w:rPr>
  </w:style>
  <w:style w:type="paragraph" w:styleId="Footer">
    <w:name w:val="footer"/>
    <w:basedOn w:val="Normal"/>
    <w:link w:val="FooterChar"/>
    <w:rsid w:val="00331B18"/>
    <w:pPr>
      <w:tabs>
        <w:tab w:val="center" w:pos="4320"/>
        <w:tab w:val="right" w:pos="8640"/>
      </w:tabs>
      <w:spacing w:before="0"/>
    </w:pPr>
  </w:style>
  <w:style w:type="character" w:customStyle="1" w:styleId="FooterChar">
    <w:name w:val="Footer Char"/>
    <w:basedOn w:val="DefaultParagraphFont"/>
    <w:link w:val="Footer"/>
    <w:rsid w:val="00331B18"/>
    <w:rPr>
      <w:rFonts w:ascii="Times New Roman" w:eastAsiaTheme="minorEastAsia" w:hAnsi="Times New Roman" w:cs="Times New Roman"/>
      <w:sz w:val="24"/>
      <w:szCs w:val="20"/>
    </w:rPr>
  </w:style>
  <w:style w:type="character" w:styleId="FootnoteReference">
    <w:name w:val="footnote reference"/>
    <w:basedOn w:val="DefaultParagraphFont"/>
    <w:rsid w:val="00331B18"/>
    <w:rPr>
      <w:rFonts w:ascii="Times New Roman" w:hAnsi="Times New Roman"/>
      <w:dstrike w:val="0"/>
      <w:color w:val="auto"/>
      <w:position w:val="6"/>
      <w:sz w:val="16"/>
      <w:u w:val="none"/>
      <w:vertAlign w:val="baseline"/>
    </w:rPr>
  </w:style>
  <w:style w:type="character" w:styleId="Hyperlink">
    <w:name w:val="Hyperlink"/>
    <w:basedOn w:val="DefaultParagraphFont"/>
    <w:uiPriority w:val="99"/>
    <w:rsid w:val="00331B18"/>
    <w:rPr>
      <w:color w:val="0000FF"/>
      <w:sz w:val="20"/>
      <w:u w:val="single"/>
    </w:rPr>
  </w:style>
  <w:style w:type="paragraph" w:customStyle="1" w:styleId="Footnotetext0">
    <w:name w:val="Footnote text"/>
    <w:basedOn w:val="Normal"/>
    <w:qFormat/>
    <w:rsid w:val="00331B18"/>
    <w:pPr>
      <w:autoSpaceDE/>
      <w:autoSpaceDN/>
      <w:adjustRightInd/>
      <w:ind w:left="720" w:right="360" w:hanging="360"/>
    </w:pPr>
    <w:rPr>
      <w:rFonts w:eastAsiaTheme="minorHAnsi" w:cstheme="minorBidi"/>
      <w:sz w:val="20"/>
      <w:szCs w:val="22"/>
    </w:rPr>
  </w:style>
  <w:style w:type="character" w:customStyle="1" w:styleId="style14">
    <w:name w:val="style14"/>
    <w:basedOn w:val="DefaultParagraphFont"/>
    <w:rsid w:val="00331B18"/>
  </w:style>
  <w:style w:type="character" w:customStyle="1" w:styleId="searchword">
    <w:name w:val="searchword"/>
    <w:basedOn w:val="DefaultParagraphFont"/>
    <w:rsid w:val="00331B18"/>
  </w:style>
  <w:style w:type="paragraph" w:styleId="ListParagraph">
    <w:name w:val="List Paragraph"/>
    <w:basedOn w:val="Normal"/>
    <w:uiPriority w:val="34"/>
    <w:qFormat/>
    <w:rsid w:val="00331B18"/>
    <w:pPr>
      <w:ind w:left="720"/>
      <w:contextualSpacing/>
    </w:pPr>
  </w:style>
  <w:style w:type="character" w:styleId="Strong">
    <w:name w:val="Strong"/>
    <w:basedOn w:val="DefaultParagraphFont"/>
    <w:uiPriority w:val="22"/>
    <w:qFormat/>
    <w:rsid w:val="00524576"/>
    <w:rPr>
      <w:b/>
      <w:bCs/>
    </w:rPr>
  </w:style>
  <w:style w:type="character" w:styleId="Emphasis">
    <w:name w:val="Emphasis"/>
    <w:basedOn w:val="DefaultParagraphFont"/>
    <w:qFormat/>
    <w:rsid w:val="00524576"/>
    <w:rPr>
      <w:i/>
      <w:iCs/>
    </w:rPr>
  </w:style>
  <w:style w:type="paragraph" w:customStyle="1" w:styleId="Default">
    <w:name w:val="Default"/>
    <w:rsid w:val="002D45FA"/>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B40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B400B6"/>
    <w:rPr>
      <w:rFonts w:ascii="Courier New" w:hAnsi="Courier New" w:cs="Courier New"/>
      <w:sz w:val="20"/>
      <w:szCs w:val="20"/>
    </w:rPr>
  </w:style>
  <w:style w:type="paragraph" w:customStyle="1" w:styleId="Footnote">
    <w:name w:val="Footnote"/>
    <w:basedOn w:val="FootnoteText"/>
    <w:link w:val="FootnoteChar"/>
    <w:qFormat/>
    <w:rsid w:val="00C36F57"/>
    <w:pPr>
      <w:autoSpaceDE/>
      <w:autoSpaceDN/>
      <w:adjustRightInd/>
    </w:pPr>
    <w:rPr>
      <w:rFonts w:eastAsiaTheme="minorHAnsi"/>
      <w:szCs w:val="22"/>
    </w:rPr>
  </w:style>
  <w:style w:type="character" w:customStyle="1" w:styleId="FootnoteChar">
    <w:name w:val="Footnote Char"/>
    <w:basedOn w:val="FootnoteTextChar"/>
    <w:link w:val="Footnote"/>
    <w:rsid w:val="00C36F57"/>
    <w:rPr>
      <w:rFonts w:eastAsiaTheme="minorHAnsi"/>
    </w:rPr>
  </w:style>
  <w:style w:type="character" w:customStyle="1" w:styleId="headertext">
    <w:name w:val="headertext"/>
    <w:basedOn w:val="DefaultParagraphFont"/>
    <w:rsid w:val="00C36F57"/>
  </w:style>
  <w:style w:type="character" w:customStyle="1" w:styleId="date">
    <w:name w:val="date"/>
    <w:basedOn w:val="DefaultParagraphFont"/>
    <w:rsid w:val="003605E9"/>
  </w:style>
  <w:style w:type="paragraph" w:styleId="HTMLAddress">
    <w:name w:val="HTML Address"/>
    <w:basedOn w:val="Normal"/>
    <w:link w:val="HTMLAddressChar"/>
    <w:uiPriority w:val="99"/>
    <w:semiHidden/>
    <w:unhideWhenUsed/>
    <w:rsid w:val="003605E9"/>
    <w:pPr>
      <w:autoSpaceDE/>
      <w:autoSpaceDN/>
      <w:adjustRightInd/>
      <w:spacing w:before="0"/>
    </w:pPr>
    <w:rPr>
      <w:rFonts w:eastAsia="Times New Roman"/>
      <w:i/>
      <w:iCs/>
      <w:szCs w:val="24"/>
    </w:rPr>
  </w:style>
  <w:style w:type="character" w:customStyle="1" w:styleId="HTMLAddressChar">
    <w:name w:val="HTML Address Char"/>
    <w:basedOn w:val="DefaultParagraphFont"/>
    <w:link w:val="HTMLAddress"/>
    <w:uiPriority w:val="99"/>
    <w:semiHidden/>
    <w:rsid w:val="003605E9"/>
    <w:rPr>
      <w:rFonts w:ascii="Times New Roman" w:hAnsi="Times New Roman" w:cs="Times New Roman"/>
      <w:i/>
      <w:iCs/>
      <w:sz w:val="24"/>
      <w:szCs w:val="24"/>
    </w:rPr>
  </w:style>
  <w:style w:type="paragraph" w:customStyle="1" w:styleId="postdate">
    <w:name w:val="postdate"/>
    <w:basedOn w:val="Normal"/>
    <w:rsid w:val="009C36A3"/>
    <w:pPr>
      <w:autoSpaceDE/>
      <w:autoSpaceDN/>
      <w:adjustRightInd/>
      <w:spacing w:before="100" w:beforeAutospacing="1" w:after="100" w:afterAutospacing="1"/>
    </w:pPr>
    <w:rPr>
      <w:rFonts w:eastAsia="Times New Roman"/>
      <w:szCs w:val="24"/>
    </w:rPr>
  </w:style>
  <w:style w:type="paragraph" w:styleId="NormalWeb">
    <w:name w:val="Normal (Web)"/>
    <w:basedOn w:val="Normal"/>
    <w:uiPriority w:val="99"/>
    <w:semiHidden/>
    <w:unhideWhenUsed/>
    <w:rsid w:val="00140A80"/>
    <w:pPr>
      <w:autoSpaceDE/>
      <w:autoSpaceDN/>
      <w:adjustRightInd/>
      <w:spacing w:before="100" w:beforeAutospacing="1" w:after="100" w:afterAutospacing="1"/>
    </w:pPr>
    <w:rPr>
      <w:rFonts w:eastAsia="Times New Roman"/>
      <w:szCs w:val="24"/>
    </w:rPr>
  </w:style>
  <w:style w:type="paragraph" w:styleId="BalloonText">
    <w:name w:val="Balloon Text"/>
    <w:basedOn w:val="Normal"/>
    <w:link w:val="BalloonTextChar"/>
    <w:uiPriority w:val="99"/>
    <w:semiHidden/>
    <w:unhideWhenUsed/>
    <w:rsid w:val="009A6B0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B0C"/>
    <w:rPr>
      <w:rFonts w:ascii="Tahoma" w:eastAsiaTheme="minorEastAsia" w:hAnsi="Tahoma" w:cs="Tahoma"/>
      <w:sz w:val="16"/>
      <w:szCs w:val="16"/>
    </w:rPr>
  </w:style>
  <w:style w:type="character" w:customStyle="1" w:styleId="apple-style-span">
    <w:name w:val="apple-style-span"/>
    <w:basedOn w:val="DefaultParagraphFont"/>
    <w:rsid w:val="004849C6"/>
  </w:style>
  <w:style w:type="character" w:customStyle="1" w:styleId="apple-converted-space">
    <w:name w:val="apple-converted-space"/>
    <w:basedOn w:val="DefaultParagraphFont"/>
    <w:rsid w:val="00AB0AA5"/>
  </w:style>
  <w:style w:type="character" w:styleId="FollowedHyperlink">
    <w:name w:val="FollowedHyperlink"/>
    <w:basedOn w:val="DefaultParagraphFont"/>
    <w:uiPriority w:val="99"/>
    <w:semiHidden/>
    <w:unhideWhenUsed/>
    <w:rsid w:val="0074298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2990382">
      <w:bodyDiv w:val="1"/>
      <w:marLeft w:val="0"/>
      <w:marRight w:val="0"/>
      <w:marTop w:val="0"/>
      <w:marBottom w:val="0"/>
      <w:divBdr>
        <w:top w:val="none" w:sz="0" w:space="0" w:color="auto"/>
        <w:left w:val="none" w:sz="0" w:space="0" w:color="auto"/>
        <w:bottom w:val="none" w:sz="0" w:space="0" w:color="auto"/>
        <w:right w:val="none" w:sz="0" w:space="0" w:color="auto"/>
      </w:divBdr>
    </w:div>
    <w:div w:id="145125043">
      <w:bodyDiv w:val="1"/>
      <w:marLeft w:val="0"/>
      <w:marRight w:val="0"/>
      <w:marTop w:val="0"/>
      <w:marBottom w:val="0"/>
      <w:divBdr>
        <w:top w:val="none" w:sz="0" w:space="0" w:color="auto"/>
        <w:left w:val="none" w:sz="0" w:space="0" w:color="auto"/>
        <w:bottom w:val="none" w:sz="0" w:space="0" w:color="auto"/>
        <w:right w:val="none" w:sz="0" w:space="0" w:color="auto"/>
      </w:divBdr>
      <w:divsChild>
        <w:div w:id="1760984130">
          <w:marLeft w:val="0"/>
          <w:marRight w:val="0"/>
          <w:marTop w:val="0"/>
          <w:marBottom w:val="0"/>
          <w:divBdr>
            <w:top w:val="none" w:sz="0" w:space="0" w:color="auto"/>
            <w:left w:val="none" w:sz="0" w:space="0" w:color="auto"/>
            <w:bottom w:val="none" w:sz="0" w:space="0" w:color="auto"/>
            <w:right w:val="none" w:sz="0" w:space="0" w:color="auto"/>
          </w:divBdr>
        </w:div>
        <w:div w:id="679628485">
          <w:marLeft w:val="0"/>
          <w:marRight w:val="0"/>
          <w:marTop w:val="0"/>
          <w:marBottom w:val="0"/>
          <w:divBdr>
            <w:top w:val="none" w:sz="0" w:space="0" w:color="auto"/>
            <w:left w:val="none" w:sz="0" w:space="0" w:color="auto"/>
            <w:bottom w:val="none" w:sz="0" w:space="0" w:color="auto"/>
            <w:right w:val="none" w:sz="0" w:space="0" w:color="auto"/>
          </w:divBdr>
        </w:div>
      </w:divsChild>
    </w:div>
    <w:div w:id="187374508">
      <w:bodyDiv w:val="1"/>
      <w:marLeft w:val="0"/>
      <w:marRight w:val="0"/>
      <w:marTop w:val="0"/>
      <w:marBottom w:val="0"/>
      <w:divBdr>
        <w:top w:val="none" w:sz="0" w:space="0" w:color="auto"/>
        <w:left w:val="none" w:sz="0" w:space="0" w:color="auto"/>
        <w:bottom w:val="none" w:sz="0" w:space="0" w:color="auto"/>
        <w:right w:val="none" w:sz="0" w:space="0" w:color="auto"/>
      </w:divBdr>
    </w:div>
    <w:div w:id="245650594">
      <w:bodyDiv w:val="1"/>
      <w:marLeft w:val="0"/>
      <w:marRight w:val="0"/>
      <w:marTop w:val="0"/>
      <w:marBottom w:val="0"/>
      <w:divBdr>
        <w:top w:val="none" w:sz="0" w:space="0" w:color="auto"/>
        <w:left w:val="none" w:sz="0" w:space="0" w:color="auto"/>
        <w:bottom w:val="none" w:sz="0" w:space="0" w:color="auto"/>
        <w:right w:val="none" w:sz="0" w:space="0" w:color="auto"/>
      </w:divBdr>
    </w:div>
    <w:div w:id="462695854">
      <w:bodyDiv w:val="1"/>
      <w:marLeft w:val="0"/>
      <w:marRight w:val="0"/>
      <w:marTop w:val="0"/>
      <w:marBottom w:val="0"/>
      <w:divBdr>
        <w:top w:val="none" w:sz="0" w:space="0" w:color="auto"/>
        <w:left w:val="none" w:sz="0" w:space="0" w:color="auto"/>
        <w:bottom w:val="none" w:sz="0" w:space="0" w:color="auto"/>
        <w:right w:val="none" w:sz="0" w:space="0" w:color="auto"/>
      </w:divBdr>
    </w:div>
    <w:div w:id="521283749">
      <w:bodyDiv w:val="1"/>
      <w:marLeft w:val="0"/>
      <w:marRight w:val="0"/>
      <w:marTop w:val="0"/>
      <w:marBottom w:val="0"/>
      <w:divBdr>
        <w:top w:val="none" w:sz="0" w:space="0" w:color="auto"/>
        <w:left w:val="none" w:sz="0" w:space="0" w:color="auto"/>
        <w:bottom w:val="none" w:sz="0" w:space="0" w:color="auto"/>
        <w:right w:val="none" w:sz="0" w:space="0" w:color="auto"/>
      </w:divBdr>
    </w:div>
    <w:div w:id="571045796">
      <w:bodyDiv w:val="1"/>
      <w:marLeft w:val="0"/>
      <w:marRight w:val="0"/>
      <w:marTop w:val="0"/>
      <w:marBottom w:val="0"/>
      <w:divBdr>
        <w:top w:val="none" w:sz="0" w:space="0" w:color="auto"/>
        <w:left w:val="none" w:sz="0" w:space="0" w:color="auto"/>
        <w:bottom w:val="none" w:sz="0" w:space="0" w:color="auto"/>
        <w:right w:val="none" w:sz="0" w:space="0" w:color="auto"/>
      </w:divBdr>
    </w:div>
    <w:div w:id="601764935">
      <w:bodyDiv w:val="1"/>
      <w:marLeft w:val="0"/>
      <w:marRight w:val="0"/>
      <w:marTop w:val="0"/>
      <w:marBottom w:val="0"/>
      <w:divBdr>
        <w:top w:val="none" w:sz="0" w:space="0" w:color="auto"/>
        <w:left w:val="none" w:sz="0" w:space="0" w:color="auto"/>
        <w:bottom w:val="none" w:sz="0" w:space="0" w:color="auto"/>
        <w:right w:val="none" w:sz="0" w:space="0" w:color="auto"/>
      </w:divBdr>
    </w:div>
    <w:div w:id="1025473527">
      <w:bodyDiv w:val="1"/>
      <w:marLeft w:val="0"/>
      <w:marRight w:val="0"/>
      <w:marTop w:val="0"/>
      <w:marBottom w:val="0"/>
      <w:divBdr>
        <w:top w:val="none" w:sz="0" w:space="0" w:color="auto"/>
        <w:left w:val="none" w:sz="0" w:space="0" w:color="auto"/>
        <w:bottom w:val="none" w:sz="0" w:space="0" w:color="auto"/>
        <w:right w:val="none" w:sz="0" w:space="0" w:color="auto"/>
      </w:divBdr>
    </w:div>
    <w:div w:id="1580141275">
      <w:bodyDiv w:val="1"/>
      <w:marLeft w:val="0"/>
      <w:marRight w:val="0"/>
      <w:marTop w:val="0"/>
      <w:marBottom w:val="0"/>
      <w:divBdr>
        <w:top w:val="none" w:sz="0" w:space="0" w:color="auto"/>
        <w:left w:val="none" w:sz="0" w:space="0" w:color="auto"/>
        <w:bottom w:val="none" w:sz="0" w:space="0" w:color="auto"/>
        <w:right w:val="none" w:sz="0" w:space="0" w:color="auto"/>
      </w:divBdr>
    </w:div>
    <w:div w:id="1991013311">
      <w:bodyDiv w:val="1"/>
      <w:marLeft w:val="0"/>
      <w:marRight w:val="0"/>
      <w:marTop w:val="0"/>
      <w:marBottom w:val="0"/>
      <w:divBdr>
        <w:top w:val="none" w:sz="0" w:space="0" w:color="auto"/>
        <w:left w:val="none" w:sz="0" w:space="0" w:color="auto"/>
        <w:bottom w:val="none" w:sz="0" w:space="0" w:color="auto"/>
        <w:right w:val="none" w:sz="0" w:space="0" w:color="auto"/>
      </w:divBdr>
    </w:div>
    <w:div w:id="209940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nccusl.org/nccusl/uniformact_summaries/uniformacts-s-ulpa.asp" TargetMode="External"/><Relationship Id="rId3" Type="http://schemas.openxmlformats.org/officeDocument/2006/relationships/hyperlink" Target="http://www.whitehouse.gov/the_press_office/Remarks-of-the-President-on-Regulatory-Reform/" TargetMode="External"/><Relationship Id="rId7" Type="http://schemas.openxmlformats.org/officeDocument/2006/relationships/hyperlink" Target="http://www.federalreserve.gov/newsevents/press/bcreg/bcreg20100621a1.pdf" TargetMode="External"/><Relationship Id="rId2" Type="http://schemas.openxmlformats.org/officeDocument/2006/relationships/hyperlink" Target="http://www.bls.gov/" TargetMode="External"/><Relationship Id="rId1" Type="http://schemas.openxmlformats.org/officeDocument/2006/relationships/hyperlink" Target="http://www.bea.gov/" TargetMode="External"/><Relationship Id="rId6" Type="http://schemas.openxmlformats.org/officeDocument/2006/relationships/hyperlink" Target="http://www.skadden.com/newsletters/FSR_The_Volcker_Rule.pdf" TargetMode="External"/><Relationship Id="rId5" Type="http://schemas.openxmlformats.org/officeDocument/2006/relationships/hyperlink" Target="http://www.occ.gov/news-issuances/news-releases/2010/nr-occ-2010-71.html" TargetMode="External"/><Relationship Id="rId4" Type="http://schemas.openxmlformats.org/officeDocument/2006/relationships/hyperlink" Target="http://www.isda.org/media/press/2010/press1025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441C9-C525-449C-952F-B433D8B2B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2511</TotalTime>
  <Pages>19</Pages>
  <Words>4179</Words>
  <Characters>23822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GWD</dc:creator>
  <cp:lastModifiedBy>Gary W. Derrick</cp:lastModifiedBy>
  <cp:revision>206</cp:revision>
  <cp:lastPrinted>2009-11-25T16:29:00Z</cp:lastPrinted>
  <dcterms:created xsi:type="dcterms:W3CDTF">2010-10-13T13:44:00Z</dcterms:created>
  <dcterms:modified xsi:type="dcterms:W3CDTF">2010-11-23T22:34:00Z</dcterms:modified>
</cp:coreProperties>
</file>